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5DD7">
            <w:pPr>
              <w:jc w:val="center"/>
              <w:rPr>
                <w:rFonts w:ascii="Arial" w:hAnsi="Arial"/>
              </w:rPr>
            </w:pPr>
            <w:r w:rsidRPr="00E75DD7">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6C546D" w:rsidRDefault="00296F80" w:rsidP="006C546D">
            <w:pPr>
              <w:rPr>
                <w:rFonts w:ascii="Arial" w:hAnsi="Arial"/>
              </w:rPr>
            </w:pPr>
            <w:r>
              <w:rPr>
                <w:rFonts w:ascii="Arial" w:hAnsi="Arial"/>
              </w:rPr>
              <w:t xml:space="preserve">Social Services Worker </w:t>
            </w:r>
            <w:r w:rsidR="00E75DD7">
              <w:rPr>
                <w:rFonts w:ascii="Arial" w:hAnsi="Arial"/>
              </w:rPr>
              <w:t xml:space="preserve">- </w:t>
            </w:r>
            <w:r w:rsidR="006C546D">
              <w:rPr>
                <w:rFonts w:ascii="Arial" w:hAnsi="Arial"/>
              </w:rPr>
              <w:t xml:space="preserve">Native Specialization </w:t>
            </w:r>
          </w:p>
          <w:p w:rsidR="009D0458" w:rsidRDefault="009D0458" w:rsidP="009D0458">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9D0458" w:rsidRDefault="009D0458" w:rsidP="006C546D">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02C88">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31F53" w:rsidP="007A5D80">
            <w:pPr>
              <w:rPr>
                <w:rFonts w:ascii="Arial" w:hAnsi="Arial"/>
              </w:rPr>
            </w:pPr>
            <w:r>
              <w:rPr>
                <w:rFonts w:ascii="Arial" w:hAnsi="Arial"/>
              </w:rPr>
              <w:t>June</w:t>
            </w:r>
            <w:r w:rsidR="005134AA">
              <w:rPr>
                <w:rFonts w:ascii="Arial" w:hAnsi="Arial"/>
              </w:rPr>
              <w:t xml:space="preserve"> </w:t>
            </w:r>
            <w:r w:rsidR="006C546D">
              <w:rPr>
                <w:rFonts w:ascii="Arial" w:hAnsi="Arial"/>
              </w:rPr>
              <w:t>1</w:t>
            </w:r>
            <w:r w:rsidR="007A5D80">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B64A8" w:rsidP="007A5D80">
            <w:pPr>
              <w:rPr>
                <w:rFonts w:ascii="Arial" w:hAnsi="Arial"/>
              </w:rPr>
            </w:pPr>
            <w:r>
              <w:rPr>
                <w:rFonts w:ascii="Arial" w:hAnsi="Arial"/>
              </w:rPr>
              <w:t>June</w:t>
            </w:r>
            <w:r w:rsidR="005134AA">
              <w:rPr>
                <w:rFonts w:ascii="Arial" w:hAnsi="Arial"/>
              </w:rPr>
              <w:t xml:space="preserve"> </w:t>
            </w:r>
            <w:r w:rsidR="00E75DD7">
              <w:rPr>
                <w:rFonts w:ascii="Arial" w:hAnsi="Arial"/>
              </w:rPr>
              <w:t>1</w:t>
            </w:r>
            <w:r w:rsidR="007A5D80">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91CB4" w:rsidP="002A0B86">
            <w:pPr>
              <w:jc w:val="center"/>
              <w:rPr>
                <w:rFonts w:ascii="Arial" w:hAnsi="Arial"/>
              </w:rPr>
            </w:pPr>
            <w:r>
              <w:rPr>
                <w:i/>
                <w:szCs w:val="24"/>
              </w:rPr>
              <w:t>“Angelique Lemay”</w:t>
            </w:r>
          </w:p>
        </w:tc>
        <w:tc>
          <w:tcPr>
            <w:tcW w:w="1188" w:type="dxa"/>
          </w:tcPr>
          <w:p w:rsidR="00D1300B" w:rsidRDefault="00991CB4">
            <w:pPr>
              <w:rPr>
                <w:rFonts w:ascii="Arial" w:hAnsi="Arial"/>
              </w:rPr>
            </w:pPr>
            <w:r>
              <w:rPr>
                <w:i/>
                <w:szCs w:val="24"/>
                <w:lang w:val="en-GB"/>
              </w:rPr>
              <w:t>Jul. 2014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991CB4">
            <w:pPr>
              <w:pStyle w:val="Heading2"/>
              <w:rPr>
                <w:rFonts w:ascii="Arial" w:hAnsi="Arial"/>
                <w:lang w:val="en-US"/>
              </w:rPr>
            </w:pPr>
            <w:r>
              <w:rPr>
                <w:rFonts w:ascii="Arial" w:hAnsi="Arial"/>
              </w:rPr>
              <w:t>DEAN</w:t>
            </w:r>
          </w:p>
          <w:p w:rsidR="00010B75" w:rsidRPr="00010B75" w:rsidRDefault="00010B75" w:rsidP="00010B75"/>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9A30A8">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5"/>
          </w:tcPr>
          <w:p w:rsidR="00D1300B" w:rsidRDefault="009A30A8">
            <w:pPr>
              <w:rPr>
                <w:rFonts w:ascii="Arial" w:hAnsi="Arial"/>
              </w:rPr>
            </w:pPr>
            <w:r>
              <w:rPr>
                <w:rFonts w:ascii="Arial" w:hAnsi="Arial"/>
              </w:rPr>
              <w:t>15 weeks</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w:t>
            </w:r>
            <w:r w:rsidR="006C546D">
              <w:rPr>
                <w:rFonts w:ascii="Arial" w:hAnsi="Arial"/>
              </w:rPr>
              <w:t>1</w:t>
            </w:r>
            <w:r w:rsidR="00773F6B">
              <w:rPr>
                <w:rFonts w:ascii="Arial" w:hAnsi="Arial"/>
              </w:rPr>
              <w:t>3</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991CB4" w:rsidRDefault="00D1300B" w:rsidP="00991CB4">
            <w:pPr>
              <w:pStyle w:val="Heading2"/>
              <w:tabs>
                <w:tab w:val="center" w:pos="4560"/>
              </w:tabs>
              <w:rPr>
                <w:rFonts w:ascii="Arial" w:hAnsi="Arial" w:cs="Arial"/>
                <w:b w:val="0"/>
              </w:rPr>
            </w:pPr>
            <w:r w:rsidRPr="00991CB4">
              <w:rPr>
                <w:rFonts w:ascii="Arial" w:hAnsi="Arial" w:cs="Arial"/>
                <w:b w:val="0"/>
                <w:i/>
              </w:rPr>
              <w:t xml:space="preserve">For additional information, please contact </w:t>
            </w:r>
            <w:r w:rsidR="00991CB4" w:rsidRPr="00991CB4">
              <w:rPr>
                <w:rFonts w:ascii="Arial" w:hAnsi="Arial" w:cs="Arial"/>
                <w:b w:val="0"/>
                <w:i/>
              </w:rPr>
              <w:t>Angelique Lemay, Dean</w:t>
            </w:r>
          </w:p>
        </w:tc>
      </w:tr>
      <w:tr w:rsidR="00D1300B">
        <w:trPr>
          <w:cantSplit/>
        </w:trPr>
        <w:tc>
          <w:tcPr>
            <w:tcW w:w="8856" w:type="dxa"/>
            <w:gridSpan w:val="6"/>
          </w:tcPr>
          <w:p w:rsidR="00D1300B" w:rsidRPr="00991CB4" w:rsidRDefault="00991CB4">
            <w:pPr>
              <w:tabs>
                <w:tab w:val="center" w:pos="4560"/>
              </w:tabs>
              <w:jc w:val="center"/>
              <w:rPr>
                <w:rFonts w:ascii="Arial" w:hAnsi="Arial" w:cs="Arial"/>
                <w:i/>
                <w:lang w:val="en-GB"/>
              </w:rPr>
            </w:pPr>
            <w:r w:rsidRPr="00991CB4">
              <w:rPr>
                <w:rFonts w:ascii="Arial" w:hAnsi="Arial" w:cs="Arial"/>
                <w:i/>
                <w:lang w:val="en-GB"/>
              </w:rPr>
              <w:t>School of Community Services and Interdisciplinary Studies.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Ext.</w:t>
            </w:r>
            <w:r w:rsidR="00010B75">
              <w:rPr>
                <w:rFonts w:ascii="Arial" w:hAnsi="Arial"/>
                <w:i/>
                <w:lang w:val="en-GB"/>
              </w:rPr>
              <w:t xml:space="preserve"> 2603</w:t>
            </w:r>
          </w:p>
          <w:p w:rsidR="00010B75" w:rsidRDefault="00010B75">
            <w:pPr>
              <w:tabs>
                <w:tab w:val="center" w:pos="4560"/>
              </w:tabs>
              <w:jc w:val="center"/>
              <w:rPr>
                <w:rFonts w:ascii="Arial" w:hAnsi="Arial"/>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Critically analyze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296F80" w:rsidRPr="00010B75" w:rsidRDefault="00296F80" w:rsidP="00296F80">
            <w:pPr>
              <w:numPr>
                <w:ilvl w:val="0"/>
                <w:numId w:val="14"/>
              </w:numPr>
              <w:rPr>
                <w:rFonts w:ascii="Arial" w:hAnsi="Arial" w:cs="Arial"/>
              </w:rPr>
            </w:pPr>
            <w:r w:rsidRPr="00010B75">
              <w:rPr>
                <w:rFonts w:ascii="Arial" w:hAnsi="Arial" w:cs="Arial"/>
              </w:rPr>
              <w:lastRenderedPageBreak/>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proofErr w:type="spellStart"/>
            <w:smartTag w:uri="urn:schemas-microsoft-com:office:smarttags" w:element="stockticker">
              <w:r w:rsidRPr="00010B75">
                <w:rPr>
                  <w:rFonts w:ascii="Arial" w:hAnsi="Arial" w:cs="Arial"/>
                </w:rPr>
                <w:t>CHST</w:t>
              </w:r>
            </w:smartTag>
            <w:proofErr w:type="spellEnd"/>
            <w:r w:rsidRPr="00010B75">
              <w:rPr>
                <w:rFonts w:ascii="Arial" w:hAnsi="Arial" w:cs="Arial"/>
              </w:rPr>
              <w:t>) and the Social Union Framework Agreement (</w:t>
            </w:r>
            <w:proofErr w:type="spellStart"/>
            <w:r w:rsidRPr="00010B75">
              <w:rPr>
                <w:rFonts w:ascii="Arial" w:hAnsi="Arial" w:cs="Arial"/>
              </w:rPr>
              <w:t>SUFA</w:t>
            </w:r>
            <w:proofErr w:type="spellEnd"/>
            <w:r w:rsidRPr="00010B75">
              <w:rPr>
                <w:rFonts w:ascii="Arial" w:hAnsi="Arial" w:cs="Arial"/>
              </w:rPr>
              <w:t>)</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p w:rsidR="00296F80" w:rsidRPr="00010B75" w:rsidRDefault="00296F80">
            <w:pPr>
              <w:rPr>
                <w:rFonts w:ascii="Arial" w:hAnsi="Arial" w:cs="Arial"/>
              </w:rPr>
            </w:pPr>
          </w:p>
        </w:tc>
      </w:tr>
    </w:tbl>
    <w:p w:rsidR="00102C88" w:rsidRDefault="00102C88">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proofErr w:type="spellStart"/>
            <w:r w:rsidR="00E57715" w:rsidRPr="00010B75">
              <w:rPr>
                <w:rFonts w:ascii="Arial" w:hAnsi="Arial" w:cs="Arial"/>
              </w:rPr>
              <w:t>YCJA</w:t>
            </w:r>
            <w:proofErr w:type="spellEnd"/>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Pr="00010B75" w:rsidRDefault="00D1300B">
      <w:pPr>
        <w:rPr>
          <w:rFonts w:ascii="Arial" w:hAnsi="Arial" w:cs="Arial"/>
        </w:rPr>
      </w:pPr>
    </w:p>
    <w:tbl>
      <w:tblPr>
        <w:tblW w:w="9108" w:type="dxa"/>
        <w:tblLayout w:type="fixed"/>
        <w:tblLook w:val="0000" w:firstRow="0" w:lastRow="0" w:firstColumn="0" w:lastColumn="0" w:noHBand="0" w:noVBand="0"/>
      </w:tblPr>
      <w:tblGrid>
        <w:gridCol w:w="18"/>
        <w:gridCol w:w="630"/>
        <w:gridCol w:w="1530"/>
        <w:gridCol w:w="4982"/>
        <w:gridCol w:w="1948"/>
      </w:tblGrid>
      <w:tr w:rsidR="00D1300B" w:rsidRPr="00010B75" w:rsidTr="00961732">
        <w:trPr>
          <w:gridBefore w:val="1"/>
          <w:wBefore w:w="18" w:type="dxa"/>
          <w:cantSplit/>
          <w:trHeight w:val="2130"/>
        </w:trPr>
        <w:tc>
          <w:tcPr>
            <w:tcW w:w="630" w:type="dxa"/>
          </w:tcPr>
          <w:p w:rsidR="005A07BB" w:rsidRDefault="002D15CC">
            <w:pPr>
              <w:rPr>
                <w:rFonts w:ascii="Arial" w:hAnsi="Arial" w:cs="Arial"/>
                <w:b/>
              </w:rPr>
            </w:pPr>
            <w:r>
              <w:rPr>
                <w:rFonts w:ascii="Arial" w:hAnsi="Arial" w:cs="Arial"/>
                <w:b/>
              </w:rPr>
              <w:t>IV</w:t>
            </w: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D1300B" w:rsidRPr="005A07BB" w:rsidRDefault="00D1300B" w:rsidP="005A07BB">
            <w:pPr>
              <w:rPr>
                <w:rFonts w:ascii="Arial" w:hAnsi="Arial" w:cs="Arial"/>
              </w:rPr>
            </w:pPr>
          </w:p>
        </w:tc>
        <w:tc>
          <w:tcPr>
            <w:tcW w:w="8460" w:type="dxa"/>
            <w:gridSpan w:val="3"/>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CF42B9" w:rsidRDefault="00CF42B9">
            <w:pPr>
              <w:rPr>
                <w:rFonts w:ascii="Arial" w:hAnsi="Arial" w:cs="Arial"/>
              </w:rPr>
            </w:pPr>
            <w:r w:rsidRPr="00010B75">
              <w:rPr>
                <w:rFonts w:ascii="Arial" w:hAnsi="Arial" w:cs="Arial"/>
              </w:rPr>
              <w:t>Course handouts and materials will be provided in class. Additional resources will supplement the course materials provided.</w:t>
            </w:r>
          </w:p>
          <w:p w:rsidR="00044FAE" w:rsidRDefault="00044FAE">
            <w:pPr>
              <w:rPr>
                <w:rFonts w:ascii="Arial" w:hAnsi="Arial" w:cs="Arial"/>
              </w:rPr>
            </w:pPr>
          </w:p>
          <w:p w:rsidR="0068422C" w:rsidRPr="00010B75" w:rsidRDefault="00044FAE" w:rsidP="00FF360F">
            <w:pPr>
              <w:rPr>
                <w:rFonts w:ascii="Arial" w:hAnsi="Arial" w:cs="Arial"/>
              </w:rPr>
            </w:pPr>
            <w:r>
              <w:rPr>
                <w:rFonts w:ascii="Arial" w:hAnsi="Arial" w:cs="Arial"/>
              </w:rPr>
              <w:t xml:space="preserve">Turner F., Turner J., </w:t>
            </w:r>
            <w:r w:rsidR="003C457A">
              <w:rPr>
                <w:rFonts w:ascii="Arial" w:hAnsi="Arial" w:cs="Arial"/>
              </w:rPr>
              <w:t xml:space="preserve">(2009). </w:t>
            </w:r>
            <w:r>
              <w:rPr>
                <w:rFonts w:ascii="Arial" w:hAnsi="Arial" w:cs="Arial"/>
              </w:rPr>
              <w:t>Canadian Social Welfare, 6</w:t>
            </w:r>
            <w:r w:rsidRPr="00044FAE">
              <w:rPr>
                <w:rFonts w:ascii="Arial" w:hAnsi="Arial" w:cs="Arial"/>
                <w:vertAlign w:val="superscript"/>
              </w:rPr>
              <w:t>th</w:t>
            </w:r>
            <w:r>
              <w:rPr>
                <w:rFonts w:ascii="Arial" w:hAnsi="Arial" w:cs="Arial"/>
              </w:rPr>
              <w:t xml:space="preserve"> ed., </w:t>
            </w:r>
            <w:r w:rsidR="005A07BB">
              <w:rPr>
                <w:rFonts w:ascii="Arial" w:hAnsi="Arial" w:cs="Arial"/>
              </w:rPr>
              <w:t>Pearson Education Canada</w:t>
            </w:r>
          </w:p>
        </w:tc>
      </w:tr>
      <w:tr w:rsidR="00102C88" w:rsidRPr="00010B75" w:rsidTr="00961732">
        <w:trPr>
          <w:gridBefore w:val="1"/>
          <w:wBefore w:w="18" w:type="dxa"/>
          <w:cantSplit/>
          <w:trHeight w:val="3690"/>
        </w:trPr>
        <w:tc>
          <w:tcPr>
            <w:tcW w:w="630" w:type="dxa"/>
          </w:tcPr>
          <w:p w:rsidR="00102C88" w:rsidRDefault="00102C88" w:rsidP="005A07BB">
            <w:pPr>
              <w:rPr>
                <w:rFonts w:ascii="Arial" w:hAnsi="Arial" w:cs="Arial"/>
                <w:b/>
              </w:rPr>
            </w:pPr>
            <w:r w:rsidRPr="005A07BB">
              <w:rPr>
                <w:rFonts w:ascii="Arial" w:hAnsi="Arial" w:cs="Arial"/>
                <w:b/>
              </w:rPr>
              <w:t>V</w:t>
            </w:r>
            <w:r>
              <w:rPr>
                <w:rFonts w:ascii="Arial" w:hAnsi="Arial" w:cs="Arial"/>
              </w:rPr>
              <w:t xml:space="preserve">. </w:t>
            </w:r>
          </w:p>
        </w:tc>
        <w:tc>
          <w:tcPr>
            <w:tcW w:w="8460" w:type="dxa"/>
            <w:gridSpan w:val="3"/>
          </w:tcPr>
          <w:p w:rsidR="00102C88" w:rsidRPr="00010B75" w:rsidRDefault="00102C88" w:rsidP="005A07BB">
            <w:pPr>
              <w:rPr>
                <w:rFonts w:ascii="Arial" w:hAnsi="Arial" w:cs="Arial"/>
                <w:b/>
              </w:rPr>
            </w:pPr>
            <w:r w:rsidRPr="00010B75">
              <w:rPr>
                <w:rFonts w:ascii="Arial" w:hAnsi="Arial" w:cs="Arial"/>
                <w:b/>
              </w:rPr>
              <w:t>EVALUATION PROCESS/GRADING SYSTEM:</w:t>
            </w:r>
          </w:p>
          <w:p w:rsidR="00102C88" w:rsidRDefault="00102C88">
            <w:pPr>
              <w:rPr>
                <w:rFonts w:ascii="Arial" w:hAnsi="Arial" w:cs="Arial"/>
              </w:rPr>
            </w:pPr>
          </w:p>
          <w:p w:rsidR="00102C88" w:rsidRDefault="00102C88" w:rsidP="005A07BB">
            <w:pPr>
              <w:pStyle w:val="EnvelopeReturn"/>
              <w:rPr>
                <w:rFonts w:cs="Arial"/>
                <w:b/>
                <w:u w:val="single"/>
              </w:rPr>
            </w:pPr>
            <w:r w:rsidRPr="00010B75">
              <w:rPr>
                <w:rFonts w:cs="Arial"/>
                <w:b/>
                <w:u w:val="single"/>
              </w:rPr>
              <w:t>ASSIGNMENT/EXAM</w:t>
            </w:r>
            <w:r w:rsidRPr="00010B75">
              <w:rPr>
                <w:rFonts w:cs="Arial"/>
                <w:b/>
              </w:rPr>
              <w:t xml:space="preserve"> </w:t>
            </w:r>
            <w:r w:rsidRPr="00010B75">
              <w:rPr>
                <w:rFonts w:cs="Arial"/>
                <w:b/>
              </w:rPr>
              <w:tab/>
            </w:r>
            <w:r w:rsidRPr="00010B75">
              <w:rPr>
                <w:rFonts w:cs="Arial"/>
                <w:b/>
              </w:rPr>
              <w:tab/>
            </w:r>
            <w:r w:rsidRPr="00010B75">
              <w:rPr>
                <w:rFonts w:cs="Arial"/>
                <w:b/>
                <w:u w:val="single"/>
              </w:rPr>
              <w:t>WORTH</w:t>
            </w:r>
            <w:r w:rsidRPr="00010B75">
              <w:rPr>
                <w:rFonts w:cs="Arial"/>
                <w:b/>
              </w:rPr>
              <w:t xml:space="preserve"> </w:t>
            </w:r>
            <w:r w:rsidRPr="00010B75">
              <w:rPr>
                <w:rFonts w:cs="Arial"/>
                <w:b/>
              </w:rPr>
              <w:tab/>
            </w:r>
          </w:p>
          <w:p w:rsidR="00102C88" w:rsidRPr="002C5DFB" w:rsidRDefault="00102C88" w:rsidP="005A07BB">
            <w:pPr>
              <w:pStyle w:val="EnvelopeReturn"/>
              <w:rPr>
                <w:rFonts w:cs="Arial"/>
              </w:rPr>
            </w:pPr>
            <w:r>
              <w:rPr>
                <w:rFonts w:cs="Arial"/>
              </w:rPr>
              <w:t xml:space="preserve">Attendance and Participation             </w:t>
            </w:r>
            <w:r w:rsidR="00FF360F">
              <w:rPr>
                <w:rFonts w:cs="Arial"/>
              </w:rPr>
              <w:t>10</w:t>
            </w:r>
            <w:r>
              <w:rPr>
                <w:rFonts w:cs="Arial"/>
              </w:rPr>
              <w:t>%</w:t>
            </w:r>
          </w:p>
          <w:p w:rsidR="00102C88" w:rsidRPr="00010B75" w:rsidRDefault="00102C88" w:rsidP="005A07BB">
            <w:pPr>
              <w:pStyle w:val="EnvelopeReturn"/>
              <w:tabs>
                <w:tab w:val="left" w:pos="3930"/>
                <w:tab w:val="left" w:pos="5355"/>
              </w:tabs>
              <w:rPr>
                <w:rFonts w:cs="Arial"/>
              </w:rPr>
            </w:pPr>
            <w:proofErr w:type="spellStart"/>
            <w:r w:rsidRPr="00010B75">
              <w:rPr>
                <w:rFonts w:cs="Arial"/>
              </w:rPr>
              <w:t>Self Governme</w:t>
            </w:r>
            <w:r>
              <w:rPr>
                <w:rFonts w:cs="Arial"/>
              </w:rPr>
              <w:t>nt</w:t>
            </w:r>
            <w:proofErr w:type="spellEnd"/>
            <w:r>
              <w:rPr>
                <w:rFonts w:cs="Arial"/>
              </w:rPr>
              <w:t xml:space="preserve"> Paper                     15</w:t>
            </w:r>
            <w:r w:rsidRPr="00010B75">
              <w:rPr>
                <w:rFonts w:cs="Arial"/>
              </w:rPr>
              <w:t xml:space="preserve">%             </w:t>
            </w:r>
          </w:p>
          <w:p w:rsidR="001C6253" w:rsidRDefault="00102C88" w:rsidP="005A07BB">
            <w:pPr>
              <w:pStyle w:val="EnvelopeReturn"/>
              <w:tabs>
                <w:tab w:val="left" w:pos="3930"/>
                <w:tab w:val="left" w:pos="5355"/>
              </w:tabs>
              <w:rPr>
                <w:rFonts w:cs="Arial"/>
              </w:rPr>
            </w:pPr>
            <w:r w:rsidRPr="00010B75">
              <w:rPr>
                <w:rFonts w:cs="Arial"/>
              </w:rPr>
              <w:t xml:space="preserve">Test #1 </w:t>
            </w:r>
            <w:r w:rsidRPr="00010B75">
              <w:rPr>
                <w:rFonts w:cs="Arial"/>
              </w:rPr>
              <w:tab/>
              <w:t>2</w:t>
            </w:r>
            <w:r w:rsidR="00FF360F">
              <w:rPr>
                <w:rFonts w:cs="Arial"/>
              </w:rPr>
              <w:t>0</w:t>
            </w:r>
            <w:r w:rsidRPr="00010B75">
              <w:rPr>
                <w:rFonts w:cs="Arial"/>
              </w:rPr>
              <w:t>%</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Social Problem Analysis </w:t>
            </w:r>
            <w:r w:rsidRPr="00010B75">
              <w:rPr>
                <w:rFonts w:cs="Arial"/>
              </w:rPr>
              <w:tab/>
              <w:t>20%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Community Presentation                  </w:t>
            </w:r>
            <w:r w:rsidRPr="00010B75">
              <w:rPr>
                <w:rFonts w:cs="Arial"/>
              </w:rPr>
              <w:tab/>
              <w:t>10%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 Test #2</w:t>
            </w:r>
            <w:r w:rsidRPr="00010B75">
              <w:rPr>
                <w:rFonts w:cs="Arial"/>
              </w:rPr>
              <w:tab/>
            </w:r>
            <w:r w:rsidRPr="00010B75">
              <w:rPr>
                <w:rFonts w:cs="Arial"/>
                <w:u w:val="single"/>
              </w:rPr>
              <w:t>25%</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 </w:t>
            </w:r>
            <w:r w:rsidRPr="00010B75">
              <w:rPr>
                <w:rFonts w:cs="Arial"/>
              </w:rPr>
              <w:tab/>
              <w:t xml:space="preserve"> </w:t>
            </w:r>
            <w:r w:rsidRPr="00010B75">
              <w:rPr>
                <w:rFonts w:cs="Arial"/>
              </w:rPr>
              <w:tab/>
            </w:r>
          </w:p>
          <w:p w:rsidR="00102C88" w:rsidRPr="00010B75" w:rsidRDefault="00102C88" w:rsidP="00102C88">
            <w:pPr>
              <w:pStyle w:val="EnvelopeReturn"/>
              <w:tabs>
                <w:tab w:val="left" w:pos="3930"/>
                <w:tab w:val="left" w:pos="5445"/>
              </w:tabs>
              <w:rPr>
                <w:rFonts w:cs="Arial"/>
                <w:b/>
              </w:rPr>
            </w:pPr>
            <w:r w:rsidRPr="00010B75">
              <w:rPr>
                <w:rFonts w:cs="Arial"/>
                <w:b/>
              </w:rPr>
              <w:t>TOTAL</w:t>
            </w:r>
            <w:r w:rsidRPr="00010B75">
              <w:rPr>
                <w:rFonts w:cs="Arial"/>
                <w:b/>
              </w:rPr>
              <w:tab/>
              <w:t>100%</w:t>
            </w:r>
          </w:p>
        </w:tc>
      </w:tr>
      <w:tr w:rsidR="00961732" w:rsidRPr="00010B75" w:rsidTr="00961732">
        <w:trPr>
          <w:gridBefore w:val="1"/>
          <w:wBefore w:w="18" w:type="dxa"/>
          <w:cantSplit/>
          <w:trHeight w:val="9981"/>
        </w:trPr>
        <w:tc>
          <w:tcPr>
            <w:tcW w:w="9090" w:type="dxa"/>
            <w:gridSpan w:val="4"/>
          </w:tcPr>
          <w:p w:rsidR="00961732" w:rsidRPr="00010B75" w:rsidRDefault="00961732" w:rsidP="005A07BB">
            <w:pPr>
              <w:pStyle w:val="EnvelopeReturn"/>
              <w:rPr>
                <w:rFonts w:cs="Arial"/>
              </w:rPr>
            </w:pPr>
            <w:r w:rsidRPr="00010B75">
              <w:rPr>
                <w:rFonts w:cs="Arial"/>
              </w:rPr>
              <w:t xml:space="preserve">There will be two </w:t>
            </w:r>
            <w:r w:rsidRPr="00010B75">
              <w:rPr>
                <w:rFonts w:cs="Arial"/>
                <w:b/>
              </w:rPr>
              <w:t>Tests.</w:t>
            </w:r>
            <w:r w:rsidRPr="00010B75">
              <w:rPr>
                <w:rFonts w:cs="Arial"/>
              </w:rPr>
              <w:t xml:space="preserve">   The tests will not be cumulative and once information is covered on the </w:t>
            </w:r>
            <w:proofErr w:type="gramStart"/>
            <w:r w:rsidRPr="00010B75">
              <w:rPr>
                <w:rFonts w:cs="Arial"/>
              </w:rPr>
              <w:t>first  test</w:t>
            </w:r>
            <w:proofErr w:type="gramEnd"/>
            <w:r w:rsidRPr="00010B75">
              <w:rPr>
                <w:rFonts w:cs="Arial"/>
              </w:rPr>
              <w:t xml:space="preserve">, it does not appear on the second.  Exams cannot be re-written to receive a higher grade.  Students who miss the exam without making prior arrangements with the instructor will be given a zero on the exam.  </w:t>
            </w:r>
          </w:p>
          <w:p w:rsidR="00961732" w:rsidRDefault="00961732" w:rsidP="005A07BB">
            <w:pPr>
              <w:pStyle w:val="EnvelopeReturn"/>
              <w:rPr>
                <w:rFonts w:cs="Arial"/>
                <w:bCs/>
              </w:rPr>
            </w:pPr>
          </w:p>
          <w:p w:rsidR="00961732" w:rsidRDefault="00961732" w:rsidP="00FF360F">
            <w:pPr>
              <w:rPr>
                <w:rFonts w:ascii="Arial" w:hAnsi="Arial" w:cs="Arial"/>
              </w:rPr>
            </w:pPr>
            <w:r w:rsidRPr="00DD51D0">
              <w:rPr>
                <w:rFonts w:ascii="Arial" w:hAnsi="Arial" w:cs="Arial"/>
                <w:b/>
              </w:rPr>
              <w:t>Attendance and Participation</w:t>
            </w:r>
            <w:r w:rsidRPr="00DD51D0">
              <w:rPr>
                <w:rFonts w:ascii="Arial" w:hAnsi="Arial" w:cs="Arial"/>
              </w:rPr>
              <w:t xml:space="preserve">:  </w:t>
            </w:r>
          </w:p>
          <w:p w:rsidR="00961732" w:rsidRDefault="00961732" w:rsidP="00FF360F">
            <w:pPr>
              <w:rPr>
                <w:rFonts w:ascii="Arial" w:hAnsi="Arial" w:cs="Arial"/>
                <w:bCs/>
              </w:rPr>
            </w:pPr>
            <w:r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961732" w:rsidRDefault="00961732" w:rsidP="00EF759C">
            <w:pPr>
              <w:rPr>
                <w:rFonts w:ascii="Arial" w:hAnsi="Arial" w:cs="Arial"/>
                <w:b/>
                <w:bCs/>
              </w:rPr>
            </w:pPr>
          </w:p>
          <w:p w:rsidR="00961732" w:rsidRPr="00AB72DC" w:rsidRDefault="00961732" w:rsidP="00EF759C">
            <w:pPr>
              <w:rPr>
                <w:rFonts w:ascii="Arial" w:hAnsi="Arial" w:cs="Arial"/>
                <w:b/>
                <w:bCs/>
              </w:rPr>
            </w:pPr>
            <w:r w:rsidRPr="00AB72DC">
              <w:rPr>
                <w:rFonts w:ascii="Arial" w:hAnsi="Arial" w:cs="Arial"/>
                <w:b/>
                <w:bCs/>
              </w:rPr>
              <w:t>Self-Government Paper</w:t>
            </w:r>
          </w:p>
          <w:p w:rsidR="00961732" w:rsidRDefault="00961732" w:rsidP="00EF759C">
            <w:pPr>
              <w:rPr>
                <w:rFonts w:ascii="Arial" w:hAnsi="Arial" w:cs="Arial"/>
              </w:rPr>
            </w:pPr>
            <w:r w:rsidRPr="00010B75">
              <w:rPr>
                <w:rFonts w:ascii="Arial" w:hAnsi="Arial" w:cs="Arial"/>
                <w:bCs/>
              </w:rPr>
              <w:t xml:space="preserve">Students will produce a 4 -6 double-spaced, 12 font paper on </w:t>
            </w:r>
            <w:r w:rsidRPr="00010B75">
              <w:rPr>
                <w:rFonts w:ascii="Arial" w:hAnsi="Arial" w:cs="Arial"/>
                <w:b/>
                <w:bCs/>
              </w:rPr>
              <w:t xml:space="preserve">Self-Government for Native Canadian People. </w:t>
            </w:r>
            <w:r w:rsidRPr="00010B75">
              <w:rPr>
                <w:rFonts w:ascii="Arial" w:hAnsi="Arial" w:cs="Arial"/>
                <w:bCs/>
              </w:rPr>
              <w:t xml:space="preserve"> The paper will compare and contrast the Canadian government and Native Canadian interpretation and initiatives relating to </w:t>
            </w:r>
            <w:proofErr w:type="spellStart"/>
            <w:r w:rsidRPr="00010B75">
              <w:rPr>
                <w:rFonts w:ascii="Arial" w:hAnsi="Arial" w:cs="Arial"/>
                <w:bCs/>
              </w:rPr>
              <w:t>self government</w:t>
            </w:r>
            <w:proofErr w:type="spellEnd"/>
            <w:r w:rsidRPr="00010B75">
              <w:rPr>
                <w:rFonts w:ascii="Arial" w:hAnsi="Arial" w:cs="Arial"/>
                <w:bCs/>
              </w:rPr>
              <w:t xml:space="preserve"> of </w:t>
            </w:r>
            <w:smartTag w:uri="urn:schemas-microsoft-com:office:smarttags" w:element="place">
              <w:smartTag w:uri="urn:schemas-microsoft-com:office:smarttags" w:element="country-region">
                <w:r w:rsidRPr="00010B75">
                  <w:rPr>
                    <w:rFonts w:ascii="Arial" w:hAnsi="Arial" w:cs="Arial"/>
                    <w:bCs/>
                  </w:rPr>
                  <w:t>Canada</w:t>
                </w:r>
              </w:smartTag>
            </w:smartTag>
            <w:r w:rsidRPr="00010B75">
              <w:rPr>
                <w:rFonts w:ascii="Arial" w:hAnsi="Arial" w:cs="Arial"/>
                <w:bCs/>
              </w:rPr>
              <w:t>’s Native population. Specifics to be provided by the professor</w:t>
            </w:r>
          </w:p>
          <w:p w:rsidR="00961732" w:rsidRDefault="00961732" w:rsidP="005A07BB">
            <w:pPr>
              <w:rPr>
                <w:rFonts w:ascii="Arial" w:hAnsi="Arial" w:cs="Arial"/>
                <w:b/>
              </w:rPr>
            </w:pPr>
          </w:p>
          <w:p w:rsidR="00961732" w:rsidRPr="00010B75" w:rsidRDefault="00961732" w:rsidP="005A07BB">
            <w:pPr>
              <w:rPr>
                <w:rFonts w:ascii="Arial" w:hAnsi="Arial" w:cs="Arial"/>
              </w:rPr>
            </w:pPr>
            <w:r w:rsidRPr="00010B75">
              <w:rPr>
                <w:rFonts w:ascii="Arial" w:hAnsi="Arial" w:cs="Arial"/>
                <w:b/>
              </w:rPr>
              <w:t>Analysis of a Social Problem and Community Presentation :</w:t>
            </w:r>
            <w:r w:rsidRPr="00010B75">
              <w:rPr>
                <w:rFonts w:ascii="Arial" w:hAnsi="Arial" w:cs="Arial"/>
              </w:rPr>
              <w:t xml:space="preserve"> </w:t>
            </w:r>
          </w:p>
          <w:p w:rsidR="00961732" w:rsidRDefault="00961732" w:rsidP="005A07BB">
            <w:pPr>
              <w:rPr>
                <w:rFonts w:ascii="Arial" w:hAnsi="Arial" w:cs="Arial"/>
              </w:rPr>
            </w:pPr>
            <w:r w:rsidRPr="00010B75">
              <w:rPr>
                <w:rFonts w:ascii="Arial" w:hAnsi="Arial" w:cs="Arial"/>
              </w:rPr>
              <w:t xml:space="preserve">Students will be assigned to groups for this assignment. Each student will be provided with a copy of Time to Act Report on Aboriginal Poverty from the National Council of Welfare Reports.  There are individual and group requirements for this assignment. Use of </w:t>
            </w:r>
            <w:r>
              <w:rPr>
                <w:rFonts w:ascii="Arial" w:hAnsi="Arial" w:cs="Arial"/>
              </w:rPr>
              <w:t>MOODLE</w:t>
            </w:r>
            <w:r w:rsidRPr="00010B75">
              <w:rPr>
                <w:rFonts w:ascii="Arial" w:hAnsi="Arial" w:cs="Arial"/>
              </w:rPr>
              <w:t xml:space="preserve"> Discussion Threads will</w:t>
            </w:r>
          </w:p>
          <w:p w:rsidR="00961732" w:rsidRPr="00010B75" w:rsidRDefault="00961732" w:rsidP="005A07BB">
            <w:pPr>
              <w:rPr>
                <w:rFonts w:ascii="Arial" w:hAnsi="Arial" w:cs="Arial"/>
              </w:rPr>
            </w:pPr>
            <w:proofErr w:type="gramStart"/>
            <w:r w:rsidRPr="00010B75">
              <w:rPr>
                <w:rFonts w:ascii="Arial" w:hAnsi="Arial" w:cs="Arial"/>
              </w:rPr>
              <w:t>constitute</w:t>
            </w:r>
            <w:proofErr w:type="gramEnd"/>
            <w:r w:rsidRPr="00010B75">
              <w:rPr>
                <w:rFonts w:ascii="Arial" w:hAnsi="Arial" w:cs="Arial"/>
              </w:rPr>
              <w:t xml:space="preserve"> a requirement as part of the grade for this assignment.</w:t>
            </w:r>
          </w:p>
          <w:p w:rsidR="00961732" w:rsidRPr="00010B75" w:rsidRDefault="00961732" w:rsidP="005A07BB">
            <w:pPr>
              <w:rPr>
                <w:rFonts w:ascii="Arial" w:hAnsi="Arial" w:cs="Arial"/>
              </w:rPr>
            </w:pPr>
            <w:r w:rsidRPr="00010B75">
              <w:rPr>
                <w:rFonts w:ascii="Arial" w:hAnsi="Arial" w:cs="Arial"/>
              </w:rPr>
              <w:t xml:space="preserve">Each group will create a project timeline to complete the requirements of </w:t>
            </w:r>
            <w:r>
              <w:rPr>
                <w:rFonts w:ascii="Arial" w:hAnsi="Arial" w:cs="Arial"/>
              </w:rPr>
              <w:t xml:space="preserve">this project. </w:t>
            </w:r>
            <w:r w:rsidRPr="00010B75">
              <w:rPr>
                <w:rFonts w:ascii="Arial" w:hAnsi="Arial" w:cs="Arial"/>
              </w:rPr>
              <w:t xml:space="preserve">Each group will prepare a hard copy document and a PowerPoint of the material requested in the Assignment Booklet.  Documents are to be written using </w:t>
            </w:r>
            <w:proofErr w:type="spellStart"/>
            <w:smartTag w:uri="urn:schemas-microsoft-com:office:smarttags" w:element="stockticker">
              <w:r w:rsidRPr="00010B75">
                <w:rPr>
                  <w:rFonts w:ascii="Arial" w:hAnsi="Arial" w:cs="Arial"/>
                </w:rPr>
                <w:t>APA</w:t>
              </w:r>
            </w:smartTag>
            <w:proofErr w:type="spellEnd"/>
            <w:r w:rsidRPr="00010B75">
              <w:rPr>
                <w:rFonts w:ascii="Arial" w:hAnsi="Arial" w:cs="Arial"/>
              </w:rPr>
              <w:t xml:space="preserve"> format.  They should be proofread for proper grammar and spelling. All documents are to be prepared as double-spaced 12 </w:t>
            </w:r>
            <w:proofErr w:type="gramStart"/>
            <w:r w:rsidRPr="00010B75">
              <w:rPr>
                <w:rFonts w:ascii="Arial" w:hAnsi="Arial" w:cs="Arial"/>
              </w:rPr>
              <w:t>font</w:t>
            </w:r>
            <w:proofErr w:type="gramEnd"/>
            <w:r w:rsidRPr="00010B75">
              <w:rPr>
                <w:rFonts w:ascii="Arial" w:hAnsi="Arial" w:cs="Arial"/>
              </w:rPr>
              <w:t xml:space="preserve"> – using Arial or Times New Roman. The class, as a</w:t>
            </w:r>
            <w:r>
              <w:rPr>
                <w:rFonts w:ascii="Arial" w:hAnsi="Arial" w:cs="Arial"/>
              </w:rPr>
              <w:t xml:space="preserve"> </w:t>
            </w:r>
            <w:r w:rsidRPr="00010B75">
              <w:rPr>
                <w:rFonts w:ascii="Arial" w:hAnsi="Arial" w:cs="Arial"/>
              </w:rPr>
              <w:t>group, will then decide which pieces of information from group projects will compile a class document and PowerPoint to be presented to interested parties. (</w:t>
            </w:r>
            <w:proofErr w:type="gramStart"/>
            <w:r w:rsidRPr="00010B75">
              <w:rPr>
                <w:rFonts w:ascii="Arial" w:hAnsi="Arial" w:cs="Arial"/>
              </w:rPr>
              <w:t>details</w:t>
            </w:r>
            <w:proofErr w:type="gramEnd"/>
            <w:r w:rsidRPr="00010B75">
              <w:rPr>
                <w:rFonts w:ascii="Arial" w:hAnsi="Arial" w:cs="Arial"/>
              </w:rPr>
              <w:t xml:space="preserve"> of this will be provided in class).</w:t>
            </w:r>
          </w:p>
          <w:p w:rsidR="00961732" w:rsidRDefault="00961732" w:rsidP="00055341">
            <w:pPr>
              <w:rPr>
                <w:rFonts w:ascii="Arial" w:hAnsi="Arial" w:cs="Arial"/>
              </w:rPr>
            </w:pPr>
            <w:r w:rsidRPr="00010B75">
              <w:rPr>
                <w:rFonts w:ascii="Arial" w:hAnsi="Arial" w:cs="Arial"/>
              </w:rPr>
              <w:t>Assignment Booklet will be provided by the professor.</w:t>
            </w:r>
          </w:p>
          <w:p w:rsidR="00961732" w:rsidRDefault="00961732" w:rsidP="00055341">
            <w:pPr>
              <w:rPr>
                <w:rFonts w:ascii="Arial" w:hAnsi="Arial" w:cs="Arial"/>
              </w:rPr>
            </w:pPr>
          </w:p>
          <w:p w:rsidR="00961732" w:rsidRDefault="00961732" w:rsidP="00055341">
            <w:pPr>
              <w:rPr>
                <w:rFonts w:ascii="Arial" w:hAnsi="Arial" w:cs="Arial"/>
              </w:rPr>
            </w:pPr>
            <w:r w:rsidRPr="00010B75">
              <w:rPr>
                <w:rFonts w:ascii="Arial" w:hAnsi="Arial" w:cs="Arial"/>
              </w:rPr>
              <w:t>The following semester grades will be assigned to students</w:t>
            </w:r>
            <w:r>
              <w:rPr>
                <w:rFonts w:ascii="Arial" w:hAnsi="Arial" w:cs="Arial"/>
              </w:rPr>
              <w:t>:</w:t>
            </w:r>
          </w:p>
          <w:p w:rsidR="00961732" w:rsidRDefault="00961732" w:rsidP="00055341">
            <w:pPr>
              <w:rPr>
                <w:rFonts w:ascii="Arial" w:hAnsi="Arial" w:cs="Arial"/>
                <w:bCs/>
              </w:rPr>
            </w:pPr>
          </w:p>
        </w:tc>
      </w:tr>
      <w:tr w:rsidR="00961732" w:rsidRPr="005134AA" w:rsidTr="00961732">
        <w:tc>
          <w:tcPr>
            <w:tcW w:w="2178" w:type="dxa"/>
            <w:gridSpan w:val="3"/>
          </w:tcPr>
          <w:p w:rsidR="00961732" w:rsidRPr="00961732" w:rsidRDefault="00961732" w:rsidP="00961732">
            <w:pPr>
              <w:rPr>
                <w:rFonts w:ascii="Arial" w:hAnsi="Arial" w:cs="Arial"/>
              </w:rPr>
            </w:pPr>
            <w:r w:rsidRPr="00961732">
              <w:rPr>
                <w:rFonts w:ascii="Arial" w:hAnsi="Arial" w:cs="Arial"/>
              </w:rPr>
              <w:br w:type="page"/>
              <w:t>Grade</w:t>
            </w:r>
          </w:p>
        </w:tc>
        <w:tc>
          <w:tcPr>
            <w:tcW w:w="4982" w:type="dxa"/>
          </w:tcPr>
          <w:p w:rsidR="00961732" w:rsidRPr="00961732" w:rsidRDefault="00961732" w:rsidP="00961732">
            <w:pPr>
              <w:rPr>
                <w:rFonts w:ascii="Arial" w:hAnsi="Arial" w:cs="Arial"/>
              </w:rPr>
            </w:pPr>
            <w:r w:rsidRPr="005134AA">
              <w:rPr>
                <w:rFonts w:ascii="Arial" w:hAnsi="Arial" w:cs="Arial"/>
              </w:rPr>
              <w:t>Definition</w:t>
            </w:r>
          </w:p>
        </w:tc>
        <w:tc>
          <w:tcPr>
            <w:tcW w:w="1948" w:type="dxa"/>
          </w:tcPr>
          <w:p w:rsidR="00961732" w:rsidRPr="00961732" w:rsidRDefault="00961732" w:rsidP="006679E5">
            <w:pPr>
              <w:jc w:val="center"/>
              <w:rPr>
                <w:rFonts w:ascii="Arial" w:hAnsi="Arial" w:cs="Arial"/>
              </w:rPr>
            </w:pPr>
            <w:r w:rsidRPr="00961732">
              <w:rPr>
                <w:rFonts w:ascii="Arial" w:hAnsi="Arial" w:cs="Arial"/>
              </w:rPr>
              <w:t>Grade Point Equivalent</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90 – 100%</w:t>
            </w:r>
          </w:p>
        </w:tc>
        <w:tc>
          <w:tcPr>
            <w:tcW w:w="1948" w:type="dxa"/>
          </w:tcPr>
          <w:p w:rsidR="00961732" w:rsidRPr="00010B75" w:rsidRDefault="00961732" w:rsidP="006679E5">
            <w:pPr>
              <w:jc w:val="center"/>
              <w:rPr>
                <w:rFonts w:ascii="Arial" w:hAnsi="Arial" w:cs="Arial"/>
              </w:rPr>
            </w:pPr>
            <w:r w:rsidRPr="00010B75">
              <w:rPr>
                <w:rFonts w:ascii="Arial" w:hAnsi="Arial" w:cs="Arial"/>
              </w:rPr>
              <w:t>4.00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80 – 89%</w:t>
            </w:r>
          </w:p>
        </w:tc>
        <w:tc>
          <w:tcPr>
            <w:tcW w:w="1948" w:type="dxa"/>
          </w:tcPr>
          <w:p w:rsidR="00961732" w:rsidRPr="00010B75" w:rsidRDefault="00961732" w:rsidP="006679E5">
            <w:pPr>
              <w:jc w:val="center"/>
              <w:rPr>
                <w:rFonts w:ascii="Arial" w:hAnsi="Arial" w:cs="Arial"/>
              </w:rPr>
            </w:pP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B</w:t>
            </w:r>
          </w:p>
        </w:tc>
        <w:tc>
          <w:tcPr>
            <w:tcW w:w="4982" w:type="dxa"/>
          </w:tcPr>
          <w:p w:rsidR="00961732" w:rsidRPr="00010B75" w:rsidRDefault="00961732" w:rsidP="00961732">
            <w:pPr>
              <w:rPr>
                <w:rFonts w:ascii="Arial" w:hAnsi="Arial" w:cs="Arial"/>
              </w:rPr>
            </w:pPr>
            <w:r w:rsidRPr="00010B75">
              <w:rPr>
                <w:rFonts w:ascii="Arial" w:hAnsi="Arial" w:cs="Arial"/>
              </w:rPr>
              <w:t>70 – 79%</w:t>
            </w:r>
          </w:p>
        </w:tc>
        <w:tc>
          <w:tcPr>
            <w:tcW w:w="1948" w:type="dxa"/>
          </w:tcPr>
          <w:p w:rsidR="00961732" w:rsidRPr="00010B75" w:rsidRDefault="00961732" w:rsidP="006679E5">
            <w:pPr>
              <w:jc w:val="center"/>
              <w:rPr>
                <w:rFonts w:ascii="Arial" w:hAnsi="Arial" w:cs="Arial"/>
              </w:rPr>
            </w:pPr>
            <w:r w:rsidRPr="00010B75">
              <w:rPr>
                <w:rFonts w:ascii="Arial" w:hAnsi="Arial" w:cs="Arial"/>
              </w:rPr>
              <w:t>3.00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C</w:t>
            </w:r>
          </w:p>
        </w:tc>
        <w:tc>
          <w:tcPr>
            <w:tcW w:w="4982" w:type="dxa"/>
          </w:tcPr>
          <w:p w:rsidR="00961732" w:rsidRPr="00010B75" w:rsidRDefault="00961732" w:rsidP="00961732">
            <w:pPr>
              <w:rPr>
                <w:rFonts w:ascii="Arial" w:hAnsi="Arial" w:cs="Arial"/>
              </w:rPr>
            </w:pPr>
            <w:r w:rsidRPr="00010B75">
              <w:rPr>
                <w:rFonts w:ascii="Arial" w:hAnsi="Arial" w:cs="Arial"/>
              </w:rPr>
              <w:t>60 – 69%</w:t>
            </w:r>
          </w:p>
        </w:tc>
        <w:tc>
          <w:tcPr>
            <w:tcW w:w="1948" w:type="dxa"/>
          </w:tcPr>
          <w:p w:rsidR="00961732" w:rsidRPr="00010B75" w:rsidRDefault="00961732" w:rsidP="006679E5">
            <w:pPr>
              <w:jc w:val="center"/>
              <w:rPr>
                <w:rFonts w:ascii="Arial" w:hAnsi="Arial" w:cs="Arial"/>
              </w:rPr>
            </w:pPr>
            <w:r w:rsidRPr="00010B75">
              <w:rPr>
                <w:rFonts w:ascii="Arial" w:hAnsi="Arial" w:cs="Arial"/>
              </w:rPr>
              <w:t>2.00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D</w:t>
            </w:r>
          </w:p>
        </w:tc>
        <w:tc>
          <w:tcPr>
            <w:tcW w:w="4982" w:type="dxa"/>
          </w:tcPr>
          <w:p w:rsidR="00961732" w:rsidRPr="00010B75" w:rsidRDefault="00961732" w:rsidP="00961732">
            <w:pPr>
              <w:rPr>
                <w:rFonts w:ascii="Arial" w:hAnsi="Arial" w:cs="Arial"/>
              </w:rPr>
            </w:pPr>
            <w:r w:rsidRPr="00010B75">
              <w:rPr>
                <w:rFonts w:ascii="Arial" w:hAnsi="Arial" w:cs="Arial"/>
              </w:rPr>
              <w:t>50 – 59%</w:t>
            </w:r>
          </w:p>
        </w:tc>
        <w:tc>
          <w:tcPr>
            <w:tcW w:w="1948" w:type="dxa"/>
          </w:tcPr>
          <w:p w:rsidR="00961732" w:rsidRPr="00010B75" w:rsidRDefault="00961732" w:rsidP="006679E5">
            <w:pPr>
              <w:jc w:val="center"/>
              <w:rPr>
                <w:rFonts w:ascii="Arial" w:hAnsi="Arial" w:cs="Arial"/>
              </w:rPr>
            </w:pPr>
            <w:r w:rsidRPr="00010B75">
              <w:rPr>
                <w:rFonts w:ascii="Arial" w:hAnsi="Arial" w:cs="Arial"/>
              </w:rPr>
              <w:t>1.00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F (Fail)</w:t>
            </w:r>
          </w:p>
        </w:tc>
        <w:tc>
          <w:tcPr>
            <w:tcW w:w="4982" w:type="dxa"/>
          </w:tcPr>
          <w:p w:rsidR="00961732" w:rsidRPr="00010B75" w:rsidRDefault="00961732" w:rsidP="00961732">
            <w:pPr>
              <w:rPr>
                <w:rFonts w:ascii="Arial" w:hAnsi="Arial" w:cs="Arial"/>
              </w:rPr>
            </w:pPr>
            <w:r w:rsidRPr="00010B75">
              <w:rPr>
                <w:rFonts w:ascii="Arial" w:hAnsi="Arial" w:cs="Arial"/>
              </w:rPr>
              <w:t>49% and below</w:t>
            </w:r>
          </w:p>
        </w:tc>
        <w:tc>
          <w:tcPr>
            <w:tcW w:w="1948" w:type="dxa"/>
          </w:tcPr>
          <w:p w:rsidR="00961732" w:rsidRPr="00010B75" w:rsidRDefault="00961732" w:rsidP="006679E5">
            <w:pPr>
              <w:jc w:val="center"/>
              <w:rPr>
                <w:rFonts w:ascii="Arial" w:hAnsi="Arial" w:cs="Arial"/>
              </w:rPr>
            </w:pPr>
            <w:r w:rsidRPr="00010B75">
              <w:rPr>
                <w:rFonts w:ascii="Arial" w:hAnsi="Arial" w:cs="Arial"/>
              </w:rPr>
              <w:t>0.00</w:t>
            </w:r>
          </w:p>
        </w:tc>
      </w:tr>
    </w:tbl>
    <w:p w:rsidR="00961732" w:rsidRDefault="00961732">
      <w:r>
        <w:br w:type="page"/>
      </w:r>
    </w:p>
    <w:tbl>
      <w:tblPr>
        <w:tblW w:w="9108" w:type="dxa"/>
        <w:tblLayout w:type="fixed"/>
        <w:tblLook w:val="0000" w:firstRow="0" w:lastRow="0" w:firstColumn="0" w:lastColumn="0" w:noHBand="0" w:noVBand="0"/>
      </w:tblPr>
      <w:tblGrid>
        <w:gridCol w:w="18"/>
        <w:gridCol w:w="2160"/>
        <w:gridCol w:w="4982"/>
        <w:gridCol w:w="1948"/>
      </w:tblGrid>
      <w:tr w:rsidR="00102C88" w:rsidRPr="00010B75" w:rsidTr="00961732">
        <w:tc>
          <w:tcPr>
            <w:tcW w:w="2178" w:type="dxa"/>
            <w:gridSpan w:val="2"/>
          </w:tcPr>
          <w:p w:rsidR="00102C88" w:rsidRPr="00010B75" w:rsidRDefault="00102C88" w:rsidP="00102C88">
            <w:pPr>
              <w:rPr>
                <w:rFonts w:ascii="Arial" w:hAnsi="Arial" w:cs="Arial"/>
              </w:rPr>
            </w:pPr>
          </w:p>
        </w:tc>
        <w:tc>
          <w:tcPr>
            <w:tcW w:w="4982" w:type="dxa"/>
          </w:tcPr>
          <w:p w:rsidR="00102C88" w:rsidRPr="00010B75" w:rsidRDefault="00102C88" w:rsidP="00102C88">
            <w:pPr>
              <w:rPr>
                <w:rFonts w:ascii="Arial" w:hAnsi="Arial" w:cs="Arial"/>
              </w:rPr>
            </w:pP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CR (Credit)</w:t>
            </w:r>
          </w:p>
        </w:tc>
        <w:tc>
          <w:tcPr>
            <w:tcW w:w="4982" w:type="dxa"/>
          </w:tcPr>
          <w:p w:rsidR="00102C88" w:rsidRPr="00010B75" w:rsidRDefault="00102C88" w:rsidP="00102C88">
            <w:pPr>
              <w:rPr>
                <w:rFonts w:ascii="Arial" w:hAnsi="Arial" w:cs="Arial"/>
              </w:rPr>
            </w:pPr>
            <w:r w:rsidRPr="00010B75">
              <w:rPr>
                <w:rFonts w:ascii="Arial" w:hAnsi="Arial" w:cs="Arial"/>
              </w:rPr>
              <w:t>Credit for diploma requirements has been awarded.</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S</w:t>
            </w:r>
          </w:p>
        </w:tc>
        <w:tc>
          <w:tcPr>
            <w:tcW w:w="4982" w:type="dxa"/>
          </w:tcPr>
          <w:p w:rsidR="00102C88" w:rsidRPr="00010B75" w:rsidRDefault="00102C88" w:rsidP="00102C88">
            <w:pPr>
              <w:rPr>
                <w:rFonts w:ascii="Arial" w:hAnsi="Arial" w:cs="Arial"/>
              </w:rPr>
            </w:pPr>
            <w:r w:rsidRPr="00010B75">
              <w:rPr>
                <w:rFonts w:ascii="Arial" w:hAnsi="Arial" w:cs="Arial"/>
              </w:rPr>
              <w:t>Satisfactory achievement in field /clinical placement or non-graded subject area.</w:t>
            </w:r>
          </w:p>
        </w:tc>
        <w:tc>
          <w:tcPr>
            <w:tcW w:w="1948" w:type="dxa"/>
          </w:tcPr>
          <w:p w:rsidR="00102C88" w:rsidRPr="00010B75" w:rsidRDefault="00102C88" w:rsidP="00102C88">
            <w:pPr>
              <w:jc w:val="center"/>
              <w:rPr>
                <w:rFonts w:ascii="Arial" w:hAnsi="Arial" w:cs="Arial"/>
              </w:rPr>
            </w:pPr>
          </w:p>
        </w:tc>
      </w:tr>
      <w:tr w:rsidR="00102C88" w:rsidRPr="00010B75" w:rsidTr="00961732">
        <w:trPr>
          <w:trHeight w:val="630"/>
        </w:trPr>
        <w:tc>
          <w:tcPr>
            <w:tcW w:w="2178" w:type="dxa"/>
            <w:gridSpan w:val="2"/>
          </w:tcPr>
          <w:p w:rsidR="00102C88" w:rsidRPr="00010B75" w:rsidRDefault="00102C88" w:rsidP="00102C88">
            <w:pPr>
              <w:rPr>
                <w:rFonts w:ascii="Arial" w:hAnsi="Arial" w:cs="Arial"/>
              </w:rPr>
            </w:pPr>
            <w:r w:rsidRPr="00010B75">
              <w:rPr>
                <w:rFonts w:ascii="Arial" w:hAnsi="Arial" w:cs="Arial"/>
              </w:rPr>
              <w:t>U</w:t>
            </w:r>
          </w:p>
        </w:tc>
        <w:tc>
          <w:tcPr>
            <w:tcW w:w="4982" w:type="dxa"/>
          </w:tcPr>
          <w:p w:rsidR="00102C88" w:rsidRPr="00010B75" w:rsidRDefault="00102C88" w:rsidP="00102C88">
            <w:pPr>
              <w:rPr>
                <w:rFonts w:ascii="Arial" w:hAnsi="Arial" w:cs="Arial"/>
              </w:rPr>
            </w:pPr>
            <w:r w:rsidRPr="00010B75">
              <w:rPr>
                <w:rFonts w:ascii="Arial" w:hAnsi="Arial" w:cs="Arial"/>
              </w:rPr>
              <w:t>Unsatisfactory achievement in field/clinical placement or non-graded subject are</w:t>
            </w:r>
            <w:r>
              <w:rPr>
                <w:rFonts w:ascii="Arial" w:hAnsi="Arial" w:cs="Arial"/>
              </w:rPr>
              <w:t>a</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X</w:t>
            </w:r>
          </w:p>
        </w:tc>
        <w:tc>
          <w:tcPr>
            <w:tcW w:w="4982" w:type="dxa"/>
          </w:tcPr>
          <w:p w:rsidR="00102C88" w:rsidRPr="00010B75" w:rsidRDefault="00102C88" w:rsidP="00102C88">
            <w:pPr>
              <w:rPr>
                <w:rFonts w:ascii="Arial" w:hAnsi="Arial" w:cs="Arial"/>
              </w:rPr>
            </w:pPr>
            <w:r w:rsidRPr="00010B75">
              <w:rPr>
                <w:rFonts w:ascii="Arial" w:hAnsi="Arial" w:cs="Arial"/>
              </w:rPr>
              <w:t>A temporary grade limited to situations with extenuating circumstances giving a student additional time to complete the requirements for a course.</w:t>
            </w:r>
          </w:p>
        </w:tc>
        <w:tc>
          <w:tcPr>
            <w:tcW w:w="1948" w:type="dxa"/>
          </w:tcPr>
          <w:p w:rsidR="00102C88" w:rsidRPr="00010B75" w:rsidRDefault="00102C88" w:rsidP="00102C88">
            <w:pPr>
              <w:jc w:val="center"/>
              <w:rPr>
                <w:rFonts w:ascii="Arial" w:hAnsi="Arial" w:cs="Arial"/>
              </w:rPr>
            </w:pP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NR</w:t>
            </w:r>
          </w:p>
        </w:tc>
        <w:tc>
          <w:tcPr>
            <w:tcW w:w="6930" w:type="dxa"/>
            <w:gridSpan w:val="2"/>
          </w:tcPr>
          <w:p w:rsidR="00102C88" w:rsidRPr="00010B75" w:rsidRDefault="00102C88" w:rsidP="00102C88">
            <w:pPr>
              <w:rPr>
                <w:rFonts w:ascii="Arial" w:hAnsi="Arial" w:cs="Arial"/>
              </w:rPr>
            </w:pPr>
            <w:r w:rsidRPr="00010B75">
              <w:rPr>
                <w:rFonts w:ascii="Arial" w:hAnsi="Arial" w:cs="Arial"/>
              </w:rPr>
              <w:t xml:space="preserve">Grade not reported to Registrar's office.  </w:t>
            </w: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W</w:t>
            </w:r>
          </w:p>
        </w:tc>
        <w:tc>
          <w:tcPr>
            <w:tcW w:w="6930" w:type="dxa"/>
            <w:gridSpan w:val="2"/>
          </w:tcPr>
          <w:p w:rsidR="00102C88" w:rsidRDefault="00102C88" w:rsidP="00102C88">
            <w:pPr>
              <w:rPr>
                <w:rFonts w:ascii="Arial" w:hAnsi="Arial" w:cs="Arial"/>
              </w:rPr>
            </w:pPr>
            <w:r w:rsidRPr="00010B75">
              <w:rPr>
                <w:rFonts w:ascii="Arial" w:hAnsi="Arial" w:cs="Arial"/>
              </w:rPr>
              <w:t xml:space="preserve">Student has withdrawn from the course without academic </w:t>
            </w:r>
          </w:p>
          <w:p w:rsidR="00102C88" w:rsidRPr="00010B75" w:rsidRDefault="00102C88" w:rsidP="00102C88">
            <w:pPr>
              <w:rPr>
                <w:rFonts w:ascii="Arial" w:hAnsi="Arial" w:cs="Arial"/>
              </w:rPr>
            </w:pPr>
            <w:proofErr w:type="gramStart"/>
            <w:r w:rsidRPr="00010B75">
              <w:rPr>
                <w:rFonts w:ascii="Arial" w:hAnsi="Arial" w:cs="Arial"/>
              </w:rPr>
              <w:t>penalty</w:t>
            </w:r>
            <w:proofErr w:type="gramEnd"/>
            <w:r w:rsidRPr="00010B75">
              <w:rPr>
                <w:rFonts w:ascii="Arial" w:hAnsi="Arial" w:cs="Arial"/>
              </w:rPr>
              <w:t>.</w:t>
            </w:r>
          </w:p>
        </w:tc>
      </w:tr>
    </w:tbl>
    <w:p w:rsidR="00102C88" w:rsidRDefault="00102C88"/>
    <w:p w:rsidR="00215637" w:rsidRPr="009E7AC8" w:rsidRDefault="00215637" w:rsidP="00215637">
      <w:pPr>
        <w:rPr>
          <w:rFonts w:ascii="Arial" w:hAnsi="Arial" w:cs="Arial"/>
          <w:szCs w:val="24"/>
        </w:rPr>
      </w:pPr>
      <w:r w:rsidRPr="009E7AC8">
        <w:rPr>
          <w:rFonts w:ascii="Arial" w:hAnsi="Arial" w:cs="Arial"/>
          <w:szCs w:val="24"/>
        </w:rPr>
        <w:t>Note:  For such reasons as program certification or program articulation, certain courses require minimums of greater than 50% and/or have mandatory components to achieve a passing grade.</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It is also important to note, that the minimum overall GPA required in order </w:t>
      </w:r>
      <w:proofErr w:type="gramStart"/>
      <w:r w:rsidRPr="009E7AC8">
        <w:rPr>
          <w:rFonts w:ascii="Arial" w:hAnsi="Arial" w:cs="Arial"/>
          <w:szCs w:val="24"/>
        </w:rPr>
        <w:t>to graduate</w:t>
      </w:r>
      <w:proofErr w:type="gramEnd"/>
      <w:r w:rsidRPr="009E7AC8">
        <w:rPr>
          <w:rFonts w:ascii="Arial" w:hAnsi="Arial" w:cs="Arial"/>
          <w:szCs w:val="24"/>
        </w:rPr>
        <w:t xml:space="preserve"> from a Sault College program remains 2.0.</w:t>
      </w:r>
    </w:p>
    <w:p w:rsidR="00215637" w:rsidRPr="009E7AC8" w:rsidRDefault="00215637" w:rsidP="00215637">
      <w:pPr>
        <w:rPr>
          <w:rFonts w:ascii="Arial" w:hAnsi="Arial" w:cs="Arial"/>
          <w:b/>
          <w:szCs w:val="24"/>
        </w:rPr>
      </w:pPr>
    </w:p>
    <w:p w:rsidR="00215637" w:rsidRPr="009E7AC8" w:rsidRDefault="00215637" w:rsidP="00215637">
      <w:pPr>
        <w:rPr>
          <w:rFonts w:ascii="Arial" w:hAnsi="Arial" w:cs="Arial"/>
          <w:b/>
          <w:szCs w:val="24"/>
        </w:rPr>
      </w:pPr>
      <w:r w:rsidRPr="009E7AC8">
        <w:rPr>
          <w:rFonts w:ascii="Arial" w:hAnsi="Arial" w:cs="Arial"/>
          <w:b/>
          <w:szCs w:val="24"/>
        </w:rPr>
        <w:t>VI.   SPECIAL NOTES:</w:t>
      </w:r>
    </w:p>
    <w:p w:rsidR="00215637" w:rsidRPr="009E7AC8" w:rsidRDefault="00215637" w:rsidP="00215637">
      <w:pPr>
        <w:rPr>
          <w:rFonts w:ascii="Arial" w:hAnsi="Arial" w:cs="Arial"/>
          <w:b/>
          <w:szCs w:val="24"/>
          <w:u w:val="single"/>
        </w:rPr>
      </w:pPr>
    </w:p>
    <w:p w:rsidR="00215637" w:rsidRPr="009E7AC8" w:rsidRDefault="00215637" w:rsidP="00215637">
      <w:pPr>
        <w:rPr>
          <w:rFonts w:ascii="Arial" w:hAnsi="Arial" w:cs="Arial"/>
          <w:b/>
          <w:szCs w:val="24"/>
          <w:u w:val="single"/>
        </w:rPr>
      </w:pPr>
      <w:r w:rsidRPr="009E7AC8">
        <w:rPr>
          <w:rFonts w:ascii="Arial" w:hAnsi="Arial" w:cs="Arial"/>
          <w:b/>
          <w:szCs w:val="24"/>
          <w:u w:val="single"/>
        </w:rPr>
        <w:t xml:space="preserve">Distribution and Submission of Assignments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To assist students in time management and organizational skills the following policy and practices will be followed by your core professors in your program.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b/>
          <w:szCs w:val="24"/>
        </w:rPr>
      </w:pPr>
      <w:r w:rsidRPr="009E7AC8">
        <w:rPr>
          <w:rFonts w:ascii="Arial" w:hAnsi="Arial" w:cs="Arial"/>
          <w:b/>
          <w:szCs w:val="24"/>
        </w:rPr>
        <w:t xml:space="preserve">Distribution of Assignments </w:t>
      </w:r>
    </w:p>
    <w:p w:rsidR="00215637" w:rsidRPr="009E7AC8" w:rsidRDefault="00215637" w:rsidP="00215637">
      <w:pPr>
        <w:rPr>
          <w:rFonts w:ascii="Arial" w:hAnsi="Arial" w:cs="Arial"/>
          <w:szCs w:val="24"/>
        </w:rPr>
      </w:pPr>
    </w:p>
    <w:p w:rsidR="00215637" w:rsidRPr="009E7AC8" w:rsidRDefault="00215637" w:rsidP="00215637">
      <w:pPr>
        <w:pStyle w:val="ListParagraph"/>
        <w:numPr>
          <w:ilvl w:val="0"/>
          <w:numId w:val="21"/>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215637" w:rsidRPr="009E7AC8" w:rsidRDefault="00215637" w:rsidP="00215637">
      <w:pPr>
        <w:rPr>
          <w:rFonts w:ascii="Arial" w:hAnsi="Arial" w:cs="Arial"/>
          <w:szCs w:val="24"/>
        </w:rPr>
      </w:pPr>
    </w:p>
    <w:p w:rsidR="00215637" w:rsidRPr="009E7AC8" w:rsidRDefault="00215637" w:rsidP="00215637">
      <w:pPr>
        <w:pStyle w:val="ListParagraph"/>
        <w:numPr>
          <w:ilvl w:val="0"/>
          <w:numId w:val="21"/>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215637" w:rsidRPr="009E7AC8" w:rsidRDefault="00215637" w:rsidP="00215637">
      <w:pPr>
        <w:rPr>
          <w:rFonts w:ascii="Arial" w:hAnsi="Arial" w:cs="Arial"/>
          <w:szCs w:val="24"/>
        </w:rPr>
      </w:pPr>
    </w:p>
    <w:p w:rsidR="00215637" w:rsidRPr="009E7AC8" w:rsidRDefault="00215637" w:rsidP="00215637">
      <w:pPr>
        <w:pStyle w:val="ListParagraph"/>
        <w:numPr>
          <w:ilvl w:val="0"/>
          <w:numId w:val="21"/>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215637" w:rsidRPr="009E7AC8" w:rsidRDefault="00215637" w:rsidP="00215637">
      <w:pPr>
        <w:rPr>
          <w:rFonts w:ascii="Arial" w:hAnsi="Arial" w:cs="Arial"/>
          <w:szCs w:val="24"/>
        </w:rPr>
      </w:pPr>
    </w:p>
    <w:p w:rsidR="00215637" w:rsidRPr="009E7AC8" w:rsidRDefault="00215637" w:rsidP="00215637">
      <w:pPr>
        <w:pStyle w:val="ListParagraph"/>
        <w:numPr>
          <w:ilvl w:val="0"/>
          <w:numId w:val="21"/>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215637" w:rsidRPr="009E7AC8" w:rsidRDefault="00215637" w:rsidP="00215637">
      <w:pPr>
        <w:rPr>
          <w:rFonts w:ascii="Arial" w:hAnsi="Arial" w:cs="Arial"/>
          <w:szCs w:val="24"/>
        </w:rPr>
      </w:pPr>
    </w:p>
    <w:p w:rsidR="00215637" w:rsidRPr="009E7AC8" w:rsidRDefault="00215637" w:rsidP="00215637">
      <w:pPr>
        <w:pStyle w:val="ListParagraph"/>
        <w:numPr>
          <w:ilvl w:val="0"/>
          <w:numId w:val="21"/>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b/>
          <w:szCs w:val="24"/>
        </w:rPr>
      </w:pPr>
      <w:r w:rsidRPr="009E7AC8">
        <w:rPr>
          <w:rFonts w:ascii="Arial" w:hAnsi="Arial" w:cs="Arial"/>
          <w:b/>
          <w:szCs w:val="24"/>
        </w:rPr>
        <w:t xml:space="preserve">Submission of Assignments </w:t>
      </w:r>
    </w:p>
    <w:p w:rsidR="00215637" w:rsidRPr="009E7AC8" w:rsidRDefault="00215637" w:rsidP="00215637">
      <w:pPr>
        <w:rPr>
          <w:rFonts w:ascii="Arial" w:hAnsi="Arial" w:cs="Arial"/>
          <w:b/>
          <w:szCs w:val="24"/>
        </w:rPr>
      </w:pPr>
    </w:p>
    <w:p w:rsidR="00215637" w:rsidRPr="009E7AC8" w:rsidRDefault="00215637" w:rsidP="00215637">
      <w:pPr>
        <w:pStyle w:val="ListParagraph"/>
        <w:numPr>
          <w:ilvl w:val="0"/>
          <w:numId w:val="22"/>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15637" w:rsidRPr="009E7AC8" w:rsidRDefault="00215637" w:rsidP="00215637">
      <w:pPr>
        <w:rPr>
          <w:rFonts w:ascii="Arial" w:hAnsi="Arial" w:cs="Arial"/>
          <w:szCs w:val="24"/>
        </w:rPr>
      </w:pPr>
    </w:p>
    <w:p w:rsidR="00215637" w:rsidRPr="009E7AC8" w:rsidRDefault="00215637" w:rsidP="00215637">
      <w:pPr>
        <w:pStyle w:val="ListParagraph"/>
        <w:numPr>
          <w:ilvl w:val="0"/>
          <w:numId w:val="22"/>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15637" w:rsidRPr="009E7AC8" w:rsidRDefault="00215637" w:rsidP="00215637">
      <w:pPr>
        <w:rPr>
          <w:rFonts w:ascii="Arial" w:hAnsi="Arial" w:cs="Arial"/>
          <w:szCs w:val="24"/>
        </w:rPr>
      </w:pPr>
    </w:p>
    <w:p w:rsidR="00215637" w:rsidRPr="009E7AC8" w:rsidRDefault="00215637" w:rsidP="00215637">
      <w:pPr>
        <w:pStyle w:val="ListParagraph"/>
        <w:numPr>
          <w:ilvl w:val="0"/>
          <w:numId w:val="22"/>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Students are preparing to enter a profession where deadlines are integral to service delivery and advocacy.  It is anticipated that students develop a work ethic which encompasses time management skills.</w:t>
      </w:r>
    </w:p>
    <w:p w:rsidR="00215637" w:rsidRPr="009E7AC8" w:rsidRDefault="00215637" w:rsidP="00215637">
      <w:pPr>
        <w:rPr>
          <w:rFonts w:ascii="Arial" w:hAnsi="Arial" w:cs="Arial"/>
          <w:b/>
          <w:szCs w:val="24"/>
        </w:rPr>
      </w:pPr>
    </w:p>
    <w:p w:rsidR="00215637" w:rsidRPr="009E7AC8" w:rsidRDefault="00215637" w:rsidP="00215637">
      <w:pPr>
        <w:rPr>
          <w:rFonts w:ascii="Arial" w:hAnsi="Arial" w:cs="Arial"/>
          <w:b/>
          <w:szCs w:val="24"/>
          <w:u w:val="single"/>
        </w:rPr>
      </w:pPr>
      <w:r w:rsidRPr="009E7AC8">
        <w:rPr>
          <w:rFonts w:ascii="Arial" w:hAnsi="Arial" w:cs="Arial"/>
          <w:b/>
          <w:szCs w:val="24"/>
          <w:u w:val="single"/>
        </w:rPr>
        <w:t>Classroom Courtesy</w:t>
      </w:r>
    </w:p>
    <w:p w:rsidR="00215637" w:rsidRPr="009E7AC8" w:rsidRDefault="00215637" w:rsidP="00215637">
      <w:pPr>
        <w:rPr>
          <w:rFonts w:ascii="Arial" w:hAnsi="Arial" w:cs="Arial"/>
          <w:b/>
          <w:szCs w:val="24"/>
          <w:u w:val="single"/>
        </w:rPr>
      </w:pPr>
    </w:p>
    <w:p w:rsidR="00215637" w:rsidRPr="009E7AC8" w:rsidRDefault="00215637" w:rsidP="00215637">
      <w:pPr>
        <w:rPr>
          <w:rFonts w:ascii="Arial" w:hAnsi="Arial" w:cs="Arial"/>
          <w:szCs w:val="24"/>
        </w:rPr>
      </w:pPr>
      <w:r w:rsidRPr="009E7AC8">
        <w:rPr>
          <w:rFonts w:ascii="Arial" w:hAnsi="Arial" w:cs="Arial"/>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215637" w:rsidRPr="009E7AC8" w:rsidRDefault="00215637" w:rsidP="00215637">
      <w:pPr>
        <w:rPr>
          <w:rFonts w:ascii="Arial" w:hAnsi="Arial" w:cs="Arial"/>
          <w:szCs w:val="24"/>
        </w:rPr>
      </w:pPr>
    </w:p>
    <w:p w:rsidR="00215637" w:rsidRDefault="00215637">
      <w:pPr>
        <w:rPr>
          <w:rFonts w:ascii="Arial" w:hAnsi="Arial" w:cs="Arial"/>
          <w:szCs w:val="24"/>
        </w:rPr>
      </w:pPr>
      <w:r>
        <w:rPr>
          <w:rFonts w:ascii="Arial" w:hAnsi="Arial" w:cs="Arial"/>
          <w:szCs w:val="24"/>
        </w:rPr>
        <w:br w:type="page"/>
      </w:r>
    </w:p>
    <w:p w:rsidR="00215637" w:rsidRPr="009E7AC8" w:rsidRDefault="00215637" w:rsidP="00215637">
      <w:pPr>
        <w:rPr>
          <w:rFonts w:ascii="Arial" w:hAnsi="Arial" w:cs="Arial"/>
          <w:szCs w:val="24"/>
        </w:rPr>
      </w:pPr>
      <w:r w:rsidRPr="009E7AC8">
        <w:rPr>
          <w:rFonts w:ascii="Arial" w:hAnsi="Arial" w:cs="Arial"/>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Late Arrivals:  If late arrivals become a pattern, once the classroom door has been closed, the learning process has begun.  Late arrivals may not be granted admission to the room until the break.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trike/>
          <w:szCs w:val="24"/>
        </w:rPr>
      </w:pPr>
      <w:r w:rsidRPr="009E7AC8">
        <w:rPr>
          <w:rFonts w:ascii="Arial" w:hAnsi="Arial" w:cs="Arial"/>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szCs w:val="24"/>
        </w:rPr>
        <w:t xml:space="preserve">  </w:t>
      </w:r>
    </w:p>
    <w:p w:rsidR="00215637" w:rsidRPr="009E7AC8" w:rsidRDefault="00215637" w:rsidP="00215637">
      <w:pPr>
        <w:rPr>
          <w:rFonts w:ascii="Arial" w:hAnsi="Arial" w:cs="Arial"/>
          <w:strike/>
          <w:szCs w:val="24"/>
        </w:rPr>
      </w:pPr>
    </w:p>
    <w:p w:rsidR="00215637" w:rsidRPr="009E7AC8" w:rsidRDefault="00215637" w:rsidP="00215637">
      <w:pPr>
        <w:rPr>
          <w:rFonts w:ascii="Arial" w:hAnsi="Arial" w:cs="Arial"/>
          <w:szCs w:val="24"/>
        </w:rPr>
      </w:pPr>
      <w:r w:rsidRPr="009E7AC8">
        <w:rPr>
          <w:rFonts w:ascii="Arial" w:hAnsi="Arial" w:cs="Arial"/>
          <w:szCs w:val="24"/>
        </w:rPr>
        <w:t xml:space="preserve">Students are encouraged to focus and refrain from talking to other students during lectures or presentations.  </w:t>
      </w:r>
    </w:p>
    <w:p w:rsidR="00215637" w:rsidRPr="009E7AC8" w:rsidRDefault="00215637" w:rsidP="00215637">
      <w:pPr>
        <w:rPr>
          <w:rFonts w:ascii="Arial" w:hAnsi="Arial" w:cs="Arial"/>
          <w:b/>
          <w:strike/>
          <w:szCs w:val="24"/>
          <w:u w:val="single"/>
        </w:rPr>
      </w:pPr>
    </w:p>
    <w:p w:rsidR="00215637" w:rsidRPr="009E7AC8" w:rsidRDefault="00215637" w:rsidP="00215637">
      <w:pPr>
        <w:rPr>
          <w:rFonts w:ascii="Arial" w:hAnsi="Arial" w:cs="Arial"/>
          <w:b/>
          <w:szCs w:val="24"/>
          <w:u w:val="single"/>
        </w:rPr>
      </w:pPr>
      <w:r w:rsidRPr="009E7AC8">
        <w:rPr>
          <w:rFonts w:ascii="Arial" w:hAnsi="Arial" w:cs="Arial"/>
          <w:b/>
          <w:szCs w:val="24"/>
          <w:u w:val="single"/>
        </w:rPr>
        <w:t>Participation and Attendance</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Students will be graded on attendance for on campus and </w:t>
      </w:r>
      <w:proofErr w:type="spellStart"/>
      <w:r w:rsidRPr="009E7AC8">
        <w:rPr>
          <w:rFonts w:ascii="Arial" w:hAnsi="Arial" w:cs="Arial"/>
          <w:szCs w:val="24"/>
        </w:rPr>
        <w:t>centra</w:t>
      </w:r>
      <w:proofErr w:type="spellEnd"/>
      <w:r w:rsidRPr="009E7AC8">
        <w:rPr>
          <w:rFonts w:ascii="Arial" w:hAnsi="Arial" w:cs="Arial"/>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15637" w:rsidRPr="009E7AC8" w:rsidRDefault="00215637" w:rsidP="00215637">
      <w:pPr>
        <w:rPr>
          <w:rFonts w:ascii="Arial" w:hAnsi="Arial" w:cs="Arial"/>
          <w:szCs w:val="24"/>
        </w:rPr>
      </w:pPr>
    </w:p>
    <w:p w:rsidR="00215637" w:rsidRPr="009E7AC8" w:rsidRDefault="00215637" w:rsidP="00215637">
      <w:pPr>
        <w:rPr>
          <w:rFonts w:ascii="Arial" w:hAnsi="Arial" w:cs="Arial"/>
          <w:szCs w:val="24"/>
        </w:rPr>
      </w:pPr>
      <w:r w:rsidRPr="009E7AC8">
        <w:rPr>
          <w:rFonts w:ascii="Arial" w:hAnsi="Arial" w:cs="Arial"/>
          <w:szCs w:val="24"/>
        </w:rPr>
        <w:t xml:space="preserve">A pattern of absences or lateness </w:t>
      </w:r>
      <w:r w:rsidRPr="009E7AC8">
        <w:rPr>
          <w:rFonts w:ascii="Arial" w:hAnsi="Arial" w:cs="Arial"/>
          <w:bCs/>
          <w:szCs w:val="24"/>
        </w:rPr>
        <w:t>may</w:t>
      </w:r>
      <w:r w:rsidRPr="009E7AC8">
        <w:rPr>
          <w:rFonts w:ascii="Arial" w:hAnsi="Arial" w:cs="Arial"/>
          <w:b/>
          <w:bCs/>
          <w:szCs w:val="24"/>
        </w:rPr>
        <w:t xml:space="preserve"> </w:t>
      </w:r>
      <w:r w:rsidRPr="009E7AC8">
        <w:rPr>
          <w:rFonts w:ascii="Arial" w:hAnsi="Arial" w:cs="Arial"/>
          <w:szCs w:val="24"/>
        </w:rPr>
        <w:t>result in academic consequences which may include failure in the course, ineligibility for fieldwork component of the program, implementation of a learning/success contract, suspension or withdrawal from fieldwork.</w:t>
      </w:r>
    </w:p>
    <w:p w:rsidR="00215637" w:rsidRPr="009E7AC8" w:rsidRDefault="00215637" w:rsidP="00215637">
      <w:pPr>
        <w:rPr>
          <w:rFonts w:ascii="Arial" w:hAnsi="Arial" w:cs="Arial"/>
          <w:b/>
          <w:szCs w:val="24"/>
        </w:rPr>
      </w:pPr>
    </w:p>
    <w:p w:rsidR="00215637" w:rsidRPr="009E7AC8" w:rsidRDefault="00215637" w:rsidP="00215637">
      <w:pPr>
        <w:rPr>
          <w:rFonts w:ascii="Arial" w:hAnsi="Arial" w:cs="Arial"/>
          <w:szCs w:val="24"/>
        </w:rPr>
      </w:pPr>
      <w:r w:rsidRPr="009E7AC8">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215637" w:rsidRPr="009E7AC8" w:rsidRDefault="00215637" w:rsidP="00215637">
      <w:pPr>
        <w:rPr>
          <w:rFonts w:ascii="Arial" w:hAnsi="Arial" w:cs="Arial"/>
          <w:b/>
          <w:szCs w:val="24"/>
        </w:rPr>
      </w:pPr>
    </w:p>
    <w:p w:rsidR="00215637" w:rsidRPr="009E7AC8" w:rsidRDefault="00215637" w:rsidP="00215637">
      <w:pPr>
        <w:rPr>
          <w:rFonts w:ascii="Arial" w:hAnsi="Arial" w:cs="Arial"/>
          <w:b/>
          <w:szCs w:val="24"/>
        </w:rPr>
      </w:pPr>
      <w:r w:rsidRPr="009E7AC8">
        <w:rPr>
          <w:rFonts w:ascii="Arial" w:hAnsi="Arial" w:cs="Arial"/>
          <w:b/>
          <w:szCs w:val="24"/>
        </w:rPr>
        <w:t>V</w:t>
      </w:r>
      <w:r w:rsidR="00991CB4">
        <w:rPr>
          <w:rFonts w:ascii="Arial" w:hAnsi="Arial" w:cs="Arial"/>
          <w:b/>
          <w:szCs w:val="24"/>
        </w:rPr>
        <w:t>I</w:t>
      </w:r>
      <w:r w:rsidRPr="009E7AC8">
        <w:rPr>
          <w:rFonts w:ascii="Arial" w:hAnsi="Arial" w:cs="Arial"/>
          <w:b/>
          <w:szCs w:val="24"/>
        </w:rPr>
        <w:t>I</w:t>
      </w:r>
      <w:proofErr w:type="gramStart"/>
      <w:r w:rsidRPr="009E7AC8">
        <w:rPr>
          <w:rFonts w:ascii="Arial" w:hAnsi="Arial" w:cs="Arial"/>
          <w:b/>
          <w:szCs w:val="24"/>
        </w:rPr>
        <w:t>.  COURSE</w:t>
      </w:r>
      <w:proofErr w:type="gramEnd"/>
      <w:r w:rsidRPr="009E7AC8">
        <w:rPr>
          <w:rFonts w:ascii="Arial" w:hAnsi="Arial" w:cs="Arial"/>
          <w:b/>
          <w:szCs w:val="24"/>
        </w:rPr>
        <w:t xml:space="preserve"> OUTLINE ADDENDUM</w:t>
      </w:r>
    </w:p>
    <w:p w:rsidR="00215637" w:rsidRPr="009E7AC8" w:rsidRDefault="00215637" w:rsidP="00215637">
      <w:pPr>
        <w:ind w:left="720" w:hanging="720"/>
        <w:jc w:val="center"/>
        <w:rPr>
          <w:rFonts w:ascii="Arial" w:hAnsi="Arial" w:cs="Arial"/>
          <w:b/>
          <w:szCs w:val="24"/>
        </w:rPr>
      </w:pPr>
    </w:p>
    <w:p w:rsidR="00215637" w:rsidRPr="009E7AC8" w:rsidRDefault="00215637" w:rsidP="00215637">
      <w:pPr>
        <w:pStyle w:val="ListParagraph"/>
        <w:numPr>
          <w:ilvl w:val="0"/>
          <w:numId w:val="25"/>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215637" w:rsidRPr="009E7AC8" w:rsidRDefault="00215637" w:rsidP="00215637">
      <w:pPr>
        <w:ind w:left="720"/>
        <w:rPr>
          <w:rFonts w:ascii="Arial" w:hAnsi="Arial" w:cs="Arial"/>
          <w:szCs w:val="24"/>
        </w:rPr>
      </w:pPr>
      <w:r w:rsidRPr="009E7AC8">
        <w:rPr>
          <w:rFonts w:ascii="Arial" w:hAnsi="Arial" w:cs="Arial"/>
          <w:szCs w:val="24"/>
        </w:rPr>
        <w:t>The professor reserves the right to change the information contained in this course outline depending on the needs of the learner and the availability of resources.</w:t>
      </w:r>
    </w:p>
    <w:p w:rsidR="00215637" w:rsidRPr="009E7AC8" w:rsidRDefault="00215637" w:rsidP="00215637">
      <w:pPr>
        <w:ind w:left="720" w:hanging="720"/>
        <w:rPr>
          <w:rFonts w:ascii="Arial" w:hAnsi="Arial" w:cs="Arial"/>
          <w:szCs w:val="24"/>
        </w:rPr>
      </w:pPr>
    </w:p>
    <w:p w:rsidR="00215637" w:rsidRPr="009E7AC8" w:rsidRDefault="00215637" w:rsidP="00215637">
      <w:pPr>
        <w:pStyle w:val="ListParagraph"/>
        <w:numPr>
          <w:ilvl w:val="0"/>
          <w:numId w:val="25"/>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215637" w:rsidRPr="009E7AC8" w:rsidRDefault="00215637" w:rsidP="00215637">
      <w:pPr>
        <w:ind w:left="720"/>
        <w:rPr>
          <w:rFonts w:ascii="Arial" w:hAnsi="Arial" w:cs="Arial"/>
          <w:szCs w:val="24"/>
        </w:rPr>
      </w:pPr>
      <w:r w:rsidRPr="009E7AC8">
        <w:rPr>
          <w:rFonts w:ascii="Arial" w:hAnsi="Arial" w:cs="Arial"/>
          <w:szCs w:val="24"/>
        </w:rPr>
        <w:t>It is the responsibility of the student to retain all course outlines for possible future use in acquiring advanced standing at other postsecondary institutions.</w:t>
      </w:r>
    </w:p>
    <w:p w:rsidR="00215637" w:rsidRPr="009E7AC8" w:rsidRDefault="00215637" w:rsidP="00215637">
      <w:pPr>
        <w:ind w:left="720" w:hanging="720"/>
        <w:rPr>
          <w:rFonts w:ascii="Arial" w:hAnsi="Arial" w:cs="Arial"/>
          <w:szCs w:val="24"/>
        </w:rPr>
      </w:pPr>
    </w:p>
    <w:p w:rsidR="00215637" w:rsidRPr="009E7AC8" w:rsidRDefault="00215637" w:rsidP="00215637">
      <w:pPr>
        <w:pStyle w:val="ListParagraph"/>
        <w:numPr>
          <w:ilvl w:val="0"/>
          <w:numId w:val="25"/>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215637" w:rsidRPr="009E7AC8" w:rsidRDefault="00215637" w:rsidP="00215637">
      <w:pPr>
        <w:ind w:left="720"/>
        <w:rPr>
          <w:rFonts w:ascii="Arial" w:hAnsi="Arial" w:cs="Arial"/>
          <w:szCs w:val="24"/>
        </w:rPr>
      </w:pPr>
      <w:r w:rsidRPr="009E7AC8">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215637" w:rsidRPr="009E7AC8" w:rsidRDefault="00215637" w:rsidP="00215637">
      <w:pPr>
        <w:ind w:left="720" w:hanging="720"/>
        <w:rPr>
          <w:rFonts w:ascii="Arial" w:hAnsi="Arial" w:cs="Arial"/>
          <w:szCs w:val="24"/>
        </w:rPr>
      </w:pPr>
    </w:p>
    <w:p w:rsidR="00215637" w:rsidRPr="009E7AC8" w:rsidRDefault="00215637" w:rsidP="00215637">
      <w:pPr>
        <w:ind w:left="720"/>
        <w:rPr>
          <w:rFonts w:ascii="Arial" w:hAnsi="Arial" w:cs="Arial"/>
          <w:szCs w:val="24"/>
        </w:rPr>
      </w:pPr>
      <w:r w:rsidRPr="009E7AC8">
        <w:rPr>
          <w:rFonts w:ascii="Arial" w:hAnsi="Arial" w:cs="Arial"/>
          <w:szCs w:val="24"/>
        </w:rPr>
        <w:t>Credit for prior learning will also be given upon successful completion of a challenge exam or portfolio.</w:t>
      </w:r>
    </w:p>
    <w:p w:rsidR="00215637" w:rsidRPr="009E7AC8" w:rsidRDefault="00215637" w:rsidP="00215637">
      <w:pPr>
        <w:ind w:left="720" w:hanging="720"/>
        <w:rPr>
          <w:rFonts w:ascii="Arial" w:hAnsi="Arial" w:cs="Arial"/>
          <w:szCs w:val="24"/>
        </w:rPr>
      </w:pPr>
    </w:p>
    <w:p w:rsidR="00215637" w:rsidRPr="009E7AC8" w:rsidRDefault="00215637" w:rsidP="00215637">
      <w:pPr>
        <w:ind w:left="720"/>
        <w:rPr>
          <w:rFonts w:ascii="Arial" w:hAnsi="Arial" w:cs="Arial"/>
          <w:szCs w:val="24"/>
        </w:rPr>
      </w:pPr>
      <w:r w:rsidRPr="009E7AC8">
        <w:rPr>
          <w:rFonts w:ascii="Arial" w:hAnsi="Arial" w:cs="Arial"/>
          <w:szCs w:val="24"/>
        </w:rPr>
        <w:t>Substitute course information is available in the Registrar's office.</w:t>
      </w:r>
    </w:p>
    <w:p w:rsidR="00215637" w:rsidRPr="009E7AC8" w:rsidRDefault="00215637" w:rsidP="00215637">
      <w:pPr>
        <w:ind w:left="720" w:hanging="720"/>
        <w:rPr>
          <w:rFonts w:ascii="Arial" w:hAnsi="Arial" w:cs="Arial"/>
          <w:szCs w:val="24"/>
        </w:rPr>
      </w:pPr>
    </w:p>
    <w:p w:rsidR="00215637" w:rsidRPr="009E7AC8" w:rsidRDefault="00215637" w:rsidP="00215637">
      <w:pPr>
        <w:pStyle w:val="ListParagraph"/>
        <w:numPr>
          <w:ilvl w:val="0"/>
          <w:numId w:val="25"/>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215637" w:rsidRPr="009E7AC8" w:rsidRDefault="00215637" w:rsidP="00215637">
      <w:pPr>
        <w:ind w:left="720"/>
        <w:rPr>
          <w:rFonts w:ascii="Arial" w:hAnsi="Arial" w:cs="Arial"/>
          <w:szCs w:val="24"/>
        </w:rPr>
      </w:pPr>
      <w:r w:rsidRPr="009E7AC8">
        <w:rPr>
          <w:rFonts w:ascii="Arial" w:hAnsi="Arial" w:cs="Arial"/>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15637" w:rsidRPr="009E7AC8" w:rsidRDefault="00215637" w:rsidP="00215637">
      <w:pPr>
        <w:ind w:left="720" w:hanging="720"/>
        <w:rPr>
          <w:rFonts w:ascii="Arial" w:hAnsi="Arial" w:cs="Arial"/>
          <w:szCs w:val="24"/>
        </w:rPr>
      </w:pPr>
    </w:p>
    <w:p w:rsidR="00215637" w:rsidRPr="009E7AC8" w:rsidRDefault="00215637" w:rsidP="00215637">
      <w:pPr>
        <w:pStyle w:val="ListParagraph"/>
        <w:numPr>
          <w:ilvl w:val="0"/>
          <w:numId w:val="25"/>
        </w:numPr>
        <w:ind w:hanging="720"/>
        <w:rPr>
          <w:rFonts w:ascii="Arial" w:hAnsi="Arial" w:cs="Arial"/>
          <w:szCs w:val="24"/>
          <w:u w:val="single"/>
        </w:rPr>
      </w:pPr>
      <w:r w:rsidRPr="009E7AC8">
        <w:rPr>
          <w:rFonts w:ascii="Arial" w:hAnsi="Arial" w:cs="Arial"/>
          <w:szCs w:val="24"/>
          <w:u w:val="single"/>
        </w:rPr>
        <w:t>Communication:</w:t>
      </w:r>
    </w:p>
    <w:p w:rsidR="00215637" w:rsidRDefault="00215637" w:rsidP="00215637">
      <w:pPr>
        <w:ind w:left="720"/>
        <w:rPr>
          <w:rFonts w:ascii="Arial" w:hAnsi="Arial" w:cs="Arial"/>
          <w:szCs w:val="24"/>
          <w:lang w:val="en-CA" w:eastAsia="en-CA"/>
        </w:rPr>
      </w:pPr>
      <w:r w:rsidRPr="009E7AC8">
        <w:rPr>
          <w:rFonts w:ascii="Arial" w:hAnsi="Arial" w:cs="Arial"/>
          <w:szCs w:val="24"/>
          <w:lang w:val="en-CA" w:eastAsia="en-CA"/>
        </w:rPr>
        <w:t xml:space="preserve">The College considers </w:t>
      </w:r>
      <w:r w:rsidRPr="009E7AC8">
        <w:rPr>
          <w:rFonts w:ascii="Arial" w:hAnsi="Arial" w:cs="Arial"/>
          <w:b/>
          <w:bCs/>
          <w:i/>
          <w:iCs/>
          <w:szCs w:val="24"/>
          <w:lang w:val="en-CA" w:eastAsia="en-CA"/>
        </w:rPr>
        <w:t>Desire2Learn (D2L) </w:t>
      </w:r>
      <w:r w:rsidRPr="009E7AC8">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w:t>
      </w:r>
    </w:p>
    <w:p w:rsidR="00215637" w:rsidRDefault="00215637">
      <w:pPr>
        <w:rPr>
          <w:rFonts w:ascii="Arial" w:hAnsi="Arial" w:cs="Arial"/>
          <w:szCs w:val="24"/>
          <w:lang w:val="en-CA" w:eastAsia="en-CA"/>
        </w:rPr>
      </w:pPr>
      <w:r>
        <w:rPr>
          <w:rFonts w:ascii="Arial" w:hAnsi="Arial" w:cs="Arial"/>
          <w:szCs w:val="24"/>
          <w:lang w:val="en-CA" w:eastAsia="en-CA"/>
        </w:rPr>
        <w:br w:type="page"/>
      </w:r>
    </w:p>
    <w:p w:rsidR="00215637" w:rsidRPr="009E7AC8" w:rsidRDefault="00215637" w:rsidP="00215637">
      <w:pPr>
        <w:ind w:left="720"/>
        <w:rPr>
          <w:rFonts w:ascii="Arial" w:hAnsi="Arial" w:cs="Arial"/>
          <w:color w:val="0000FF"/>
          <w:szCs w:val="24"/>
          <w:lang w:val="en-CA" w:eastAsia="en-CA"/>
        </w:rPr>
      </w:pPr>
      <w:proofErr w:type="gramStart"/>
      <w:r w:rsidRPr="009E7AC8">
        <w:rPr>
          <w:rFonts w:ascii="Arial" w:hAnsi="Arial" w:cs="Arial"/>
          <w:szCs w:val="24"/>
          <w:lang w:val="en-CA" w:eastAsia="en-CA"/>
        </w:rPr>
        <w:t>course</w:t>
      </w:r>
      <w:proofErr w:type="gramEnd"/>
      <w:r w:rsidRPr="009E7AC8">
        <w:rPr>
          <w:rFonts w:ascii="Arial" w:hAnsi="Arial" w:cs="Arial"/>
          <w:szCs w:val="24"/>
          <w:lang w:val="en-CA" w:eastAsia="en-CA"/>
        </w:rPr>
        <w:t xml:space="preserve"> information.  Success in this course may be directly related to your willingness to take advantage of this Learning Management System (</w:t>
      </w:r>
      <w:proofErr w:type="spellStart"/>
      <w:r w:rsidRPr="009E7AC8">
        <w:rPr>
          <w:rFonts w:ascii="Arial" w:hAnsi="Arial" w:cs="Arial"/>
          <w:szCs w:val="24"/>
          <w:lang w:val="en-CA" w:eastAsia="en-CA"/>
        </w:rPr>
        <w:t>LMS</w:t>
      </w:r>
      <w:proofErr w:type="spellEnd"/>
      <w:r w:rsidRPr="009E7AC8">
        <w:rPr>
          <w:rFonts w:ascii="Arial" w:hAnsi="Arial" w:cs="Arial"/>
          <w:szCs w:val="24"/>
          <w:lang w:val="en-CA" w:eastAsia="en-CA"/>
        </w:rPr>
        <w:t>) communication tool</w:t>
      </w:r>
      <w:r w:rsidRPr="009E7AC8">
        <w:rPr>
          <w:rFonts w:ascii="Arial" w:hAnsi="Arial" w:cs="Arial"/>
          <w:color w:val="0000FF"/>
          <w:szCs w:val="24"/>
          <w:lang w:val="en-CA" w:eastAsia="en-CA"/>
        </w:rPr>
        <w:t>.</w:t>
      </w:r>
    </w:p>
    <w:p w:rsidR="00215637" w:rsidRPr="009E7AC8" w:rsidRDefault="00215637" w:rsidP="00215637">
      <w:pPr>
        <w:ind w:left="720"/>
        <w:rPr>
          <w:rFonts w:ascii="Arial" w:hAnsi="Arial" w:cs="Arial"/>
          <w:color w:val="0000FF"/>
          <w:szCs w:val="24"/>
          <w:lang w:val="en-CA" w:eastAsia="en-CA"/>
        </w:rPr>
      </w:pPr>
    </w:p>
    <w:p w:rsidR="00215637" w:rsidRPr="009E7AC8" w:rsidRDefault="00215637" w:rsidP="00215637">
      <w:pPr>
        <w:ind w:left="720"/>
        <w:rPr>
          <w:rFonts w:ascii="Arial" w:hAnsi="Arial" w:cs="Arial"/>
          <w:b/>
          <w:i/>
          <w:szCs w:val="24"/>
          <w:lang w:eastAsia="en-CA"/>
        </w:rPr>
      </w:pPr>
      <w:r w:rsidRPr="009E7AC8">
        <w:rPr>
          <w:rFonts w:ascii="Arial" w:hAnsi="Arial" w:cs="Arial"/>
          <w:b/>
          <w:i/>
          <w:szCs w:val="24"/>
          <w:lang w:eastAsia="en-CA"/>
        </w:rPr>
        <w:t xml:space="preserve">MOODLE is the online course management system used by </w:t>
      </w:r>
      <w:proofErr w:type="spellStart"/>
      <w:r w:rsidRPr="009E7AC8">
        <w:rPr>
          <w:rFonts w:ascii="Arial" w:hAnsi="Arial" w:cs="Arial"/>
          <w:b/>
          <w:i/>
          <w:szCs w:val="24"/>
          <w:lang w:eastAsia="en-CA"/>
        </w:rPr>
        <w:t>OSHKI</w:t>
      </w:r>
      <w:proofErr w:type="spellEnd"/>
      <w:r w:rsidRPr="009E7AC8">
        <w:rPr>
          <w:rFonts w:ascii="Arial" w:hAnsi="Arial" w:cs="Arial"/>
          <w:b/>
          <w:i/>
          <w:szCs w:val="24"/>
          <w:lang w:eastAsia="en-CA"/>
        </w:rPr>
        <w:t xml:space="preserve">.  This will be the student’s main source for course information.   </w:t>
      </w:r>
    </w:p>
    <w:p w:rsidR="00215637" w:rsidRPr="009E7AC8" w:rsidRDefault="00215637" w:rsidP="00215637">
      <w:pPr>
        <w:ind w:left="720"/>
        <w:rPr>
          <w:rFonts w:ascii="Arial" w:hAnsi="Arial" w:cs="Arial"/>
          <w:color w:val="0000FF"/>
          <w:szCs w:val="24"/>
          <w:lang w:val="en-CA" w:eastAsia="en-CA"/>
        </w:rPr>
      </w:pPr>
    </w:p>
    <w:p w:rsidR="00215637" w:rsidRPr="009E7AC8" w:rsidRDefault="00215637" w:rsidP="00215637">
      <w:pPr>
        <w:pStyle w:val="ListParagraph"/>
        <w:numPr>
          <w:ilvl w:val="0"/>
          <w:numId w:val="25"/>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215637" w:rsidRPr="009E7AC8" w:rsidRDefault="00215637" w:rsidP="00215637">
      <w:pPr>
        <w:ind w:left="720"/>
        <w:rPr>
          <w:rFonts w:ascii="Arial" w:hAnsi="Arial" w:cs="Arial"/>
          <w:szCs w:val="24"/>
        </w:rPr>
      </w:pPr>
      <w:r w:rsidRPr="009E7AC8">
        <w:rPr>
          <w:rFonts w:ascii="Arial" w:hAnsi="Arial" w:cs="Arial"/>
          <w:szCs w:val="24"/>
        </w:rPr>
        <w:t xml:space="preserve">Students should refer to the definition of “academic dishonesty” in </w:t>
      </w:r>
      <w:r w:rsidRPr="009E7AC8">
        <w:rPr>
          <w:rFonts w:ascii="Arial" w:hAnsi="Arial" w:cs="Arial"/>
          <w:i/>
          <w:szCs w:val="24"/>
        </w:rPr>
        <w:t>Student Code of Conduct</w:t>
      </w:r>
      <w:r w:rsidRPr="009E7AC8">
        <w:rPr>
          <w:rFonts w:ascii="Arial" w:hAnsi="Arial" w:cs="Arial"/>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15637" w:rsidRPr="009E7AC8" w:rsidRDefault="00215637" w:rsidP="00215637">
      <w:pPr>
        <w:ind w:left="720" w:hanging="720"/>
        <w:rPr>
          <w:rFonts w:ascii="Arial" w:hAnsi="Arial" w:cs="Arial"/>
          <w:szCs w:val="24"/>
        </w:rPr>
      </w:pPr>
    </w:p>
    <w:p w:rsidR="00215637" w:rsidRPr="009E7AC8" w:rsidRDefault="00215637" w:rsidP="00215637">
      <w:pPr>
        <w:pStyle w:val="ListParagraph"/>
        <w:numPr>
          <w:ilvl w:val="0"/>
          <w:numId w:val="25"/>
        </w:numPr>
        <w:ind w:hanging="720"/>
        <w:rPr>
          <w:rFonts w:ascii="Arial" w:hAnsi="Arial" w:cs="Arial"/>
          <w:szCs w:val="24"/>
          <w:u w:val="single"/>
        </w:rPr>
      </w:pPr>
      <w:r w:rsidRPr="009E7AC8">
        <w:rPr>
          <w:rFonts w:ascii="Arial" w:hAnsi="Arial" w:cs="Arial"/>
          <w:szCs w:val="24"/>
          <w:u w:val="single"/>
        </w:rPr>
        <w:t>Tuition Default:</w:t>
      </w:r>
    </w:p>
    <w:p w:rsidR="00215637" w:rsidRPr="009E7AC8" w:rsidRDefault="00215637" w:rsidP="00215637">
      <w:pPr>
        <w:ind w:left="720"/>
        <w:rPr>
          <w:rFonts w:ascii="Arial" w:hAnsi="Arial" w:cs="Arial"/>
          <w:iCs/>
          <w:szCs w:val="24"/>
        </w:rPr>
      </w:pPr>
      <w:r w:rsidRPr="009E7AC8">
        <w:rPr>
          <w:rFonts w:ascii="Arial" w:hAnsi="Arial" w:cs="Arial"/>
          <w:szCs w:val="24"/>
        </w:rPr>
        <w:t>Stu</w:t>
      </w:r>
      <w:r w:rsidRPr="009E7AC8">
        <w:rPr>
          <w:rFonts w:ascii="Arial" w:hAnsi="Arial" w:cs="Arial"/>
          <w:iCs/>
          <w:szCs w:val="24"/>
        </w:rPr>
        <w:t xml:space="preserve">dents who have defaulted on the payment of tuition (tuition has not been paid in full, payments were not deferred or payment plan not </w:t>
      </w:r>
      <w:proofErr w:type="spellStart"/>
      <w:r w:rsidRPr="009E7AC8">
        <w:rPr>
          <w:rFonts w:ascii="Arial" w:hAnsi="Arial" w:cs="Arial"/>
          <w:iCs/>
          <w:szCs w:val="24"/>
        </w:rPr>
        <w:t>honoured</w:t>
      </w:r>
      <w:proofErr w:type="spellEnd"/>
      <w:r w:rsidRPr="009E7AC8">
        <w:rPr>
          <w:rFonts w:ascii="Arial" w:hAnsi="Arial" w:cs="Arial"/>
          <w:iCs/>
          <w:szCs w:val="24"/>
        </w:rPr>
        <w:t xml:space="preserve">) as </w:t>
      </w:r>
      <w:bookmarkStart w:id="1" w:name="Dropdown2"/>
      <w:r w:rsidRPr="009E7AC8">
        <w:rPr>
          <w:rFonts w:ascii="Arial" w:hAnsi="Arial" w:cs="Arial"/>
          <w:iCs/>
          <w:szCs w:val="24"/>
        </w:rPr>
        <w:t xml:space="preserve">of the first week of </w:t>
      </w:r>
      <w:bookmarkEnd w:id="1"/>
      <w:r w:rsidRPr="009E7AC8">
        <w:rPr>
          <w:rFonts w:ascii="Arial" w:hAnsi="Arial" w:cs="Arial"/>
          <w:szCs w:val="24"/>
        </w:rPr>
        <w:t xml:space="preserve">November (fall semester courses), first week of March (winter semester courses) or first week of June (summer semester courses) </w:t>
      </w:r>
      <w:r w:rsidRPr="009E7AC8">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15637" w:rsidRPr="009E7AC8" w:rsidRDefault="00215637" w:rsidP="00215637">
      <w:pPr>
        <w:ind w:left="720" w:hanging="720"/>
        <w:rPr>
          <w:rFonts w:ascii="Arial" w:hAnsi="Arial" w:cs="Arial"/>
          <w:szCs w:val="24"/>
        </w:rPr>
      </w:pPr>
    </w:p>
    <w:p w:rsidR="00215637" w:rsidRPr="009E7AC8" w:rsidRDefault="00215637" w:rsidP="00215637">
      <w:pPr>
        <w:pStyle w:val="ListParagraph"/>
        <w:numPr>
          <w:ilvl w:val="0"/>
          <w:numId w:val="25"/>
        </w:numPr>
        <w:ind w:hanging="720"/>
        <w:rPr>
          <w:rFonts w:ascii="Arial" w:hAnsi="Arial" w:cs="Arial"/>
          <w:szCs w:val="24"/>
          <w:u w:val="single"/>
        </w:rPr>
      </w:pPr>
      <w:r w:rsidRPr="009E7AC8">
        <w:rPr>
          <w:rFonts w:ascii="Arial" w:hAnsi="Arial" w:cs="Arial"/>
          <w:szCs w:val="24"/>
          <w:u w:val="single"/>
        </w:rPr>
        <w:t>Student Portal:</w:t>
      </w:r>
    </w:p>
    <w:p w:rsidR="00215637" w:rsidRPr="009E7AC8" w:rsidRDefault="00215637" w:rsidP="00215637">
      <w:pPr>
        <w:ind w:left="720"/>
        <w:rPr>
          <w:rFonts w:ascii="Arial" w:hAnsi="Arial" w:cs="Arial"/>
          <w:i/>
          <w:szCs w:val="24"/>
        </w:rPr>
      </w:pPr>
      <w:r w:rsidRPr="009E7AC8">
        <w:rPr>
          <w:rFonts w:ascii="Arial" w:hAnsi="Arial" w:cs="Arial"/>
          <w:szCs w:val="24"/>
        </w:rPr>
        <w:t xml:space="preserve">The Sault College portal allows you to view all your student information in one place. </w:t>
      </w:r>
      <w:proofErr w:type="spellStart"/>
      <w:proofErr w:type="gramStart"/>
      <w:r w:rsidRPr="009E7AC8">
        <w:rPr>
          <w:rFonts w:ascii="Arial" w:hAnsi="Arial" w:cs="Arial"/>
          <w:b/>
          <w:szCs w:val="24"/>
        </w:rPr>
        <w:t>mysaultcollege</w:t>
      </w:r>
      <w:proofErr w:type="spellEnd"/>
      <w:proofErr w:type="gramEnd"/>
      <w:r w:rsidRPr="009E7AC8">
        <w:rPr>
          <w:rFonts w:ascii="Arial" w:hAnsi="Arial" w:cs="Arial"/>
          <w:b/>
          <w:szCs w:val="24"/>
        </w:rPr>
        <w:t xml:space="preserve"> </w:t>
      </w:r>
      <w:r w:rsidRPr="009E7AC8">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szCs w:val="24"/>
        </w:rPr>
        <w:t>your</w:t>
      </w:r>
      <w:proofErr w:type="spellEnd"/>
      <w:r w:rsidRPr="009E7AC8">
        <w:rPr>
          <w:rFonts w:ascii="Arial" w:hAnsi="Arial" w:cs="Arial"/>
          <w:szCs w:val="24"/>
        </w:rPr>
        <w:t xml:space="preserve"> learning management system (</w:t>
      </w:r>
      <w:proofErr w:type="spellStart"/>
      <w:r w:rsidRPr="009E7AC8">
        <w:rPr>
          <w:rFonts w:ascii="Arial" w:hAnsi="Arial" w:cs="Arial"/>
          <w:szCs w:val="24"/>
        </w:rPr>
        <w:t>LMS</w:t>
      </w:r>
      <w:proofErr w:type="spellEnd"/>
      <w:r w:rsidRPr="009E7AC8">
        <w:rPr>
          <w:rFonts w:ascii="Arial" w:hAnsi="Arial" w:cs="Arial"/>
          <w:szCs w:val="24"/>
        </w:rPr>
        <w:t xml:space="preserve">), and much more.  Go to </w:t>
      </w:r>
      <w:hyperlink r:id="rId10" w:history="1">
        <w:r w:rsidRPr="009E7AC8">
          <w:rPr>
            <w:rStyle w:val="Hyperlink"/>
            <w:rFonts w:ascii="Arial" w:hAnsi="Arial" w:cs="Arial"/>
            <w:szCs w:val="24"/>
          </w:rPr>
          <w:t>https://my.saultcollege.ca</w:t>
        </w:r>
      </w:hyperlink>
      <w:r w:rsidRPr="009E7AC8">
        <w:rPr>
          <w:rFonts w:ascii="Arial" w:hAnsi="Arial" w:cs="Arial"/>
          <w:szCs w:val="24"/>
        </w:rPr>
        <w:t>.</w:t>
      </w:r>
    </w:p>
    <w:p w:rsidR="00215637" w:rsidRPr="009E7AC8" w:rsidRDefault="00215637" w:rsidP="00215637">
      <w:pPr>
        <w:ind w:left="720" w:hanging="720"/>
        <w:rPr>
          <w:rFonts w:ascii="Arial" w:hAnsi="Arial" w:cs="Arial"/>
          <w:b/>
          <w:i/>
          <w:iCs/>
          <w:color w:val="000000"/>
          <w:szCs w:val="24"/>
        </w:rPr>
      </w:pPr>
    </w:p>
    <w:p w:rsidR="00215637" w:rsidRPr="009E7AC8" w:rsidRDefault="00215637" w:rsidP="00215637">
      <w:pPr>
        <w:pStyle w:val="ListParagraph"/>
        <w:numPr>
          <w:ilvl w:val="0"/>
          <w:numId w:val="25"/>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215637" w:rsidRDefault="00215637" w:rsidP="00215637">
      <w:pPr>
        <w:ind w:left="720"/>
        <w:rPr>
          <w:rFonts w:ascii="Arial" w:hAnsi="Arial" w:cs="Arial"/>
          <w:szCs w:val="24"/>
          <w:lang w:eastAsia="en-CA"/>
        </w:rPr>
      </w:pPr>
      <w:r w:rsidRPr="009E7AC8">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w:t>
      </w:r>
    </w:p>
    <w:p w:rsidR="00215637" w:rsidRDefault="00215637">
      <w:pPr>
        <w:rPr>
          <w:rFonts w:ascii="Arial" w:hAnsi="Arial" w:cs="Arial"/>
          <w:szCs w:val="24"/>
          <w:lang w:eastAsia="en-CA"/>
        </w:rPr>
      </w:pPr>
      <w:r>
        <w:rPr>
          <w:rFonts w:ascii="Arial" w:hAnsi="Arial" w:cs="Arial"/>
          <w:szCs w:val="24"/>
          <w:lang w:eastAsia="en-CA"/>
        </w:rPr>
        <w:br w:type="page"/>
      </w:r>
    </w:p>
    <w:p w:rsidR="00215637" w:rsidRPr="009E7AC8" w:rsidRDefault="00215637" w:rsidP="00215637">
      <w:pPr>
        <w:ind w:left="720"/>
        <w:rPr>
          <w:rFonts w:ascii="Arial" w:hAnsi="Arial" w:cs="Arial"/>
          <w:szCs w:val="24"/>
          <w:lang w:eastAsia="en-CA"/>
        </w:rPr>
      </w:pPr>
      <w:r w:rsidRPr="009E7AC8">
        <w:rPr>
          <w:rFonts w:ascii="Arial" w:hAnsi="Arial" w:cs="Arial"/>
          <w:szCs w:val="24"/>
          <w:lang w:eastAsia="en-CA"/>
        </w:rPr>
        <w:t xml:space="preserve">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szCs w:val="24"/>
          <w:lang w:eastAsia="en-CA"/>
        </w:rPr>
        <w:t xml:space="preserve"> </w:t>
      </w:r>
    </w:p>
    <w:p w:rsidR="00215637" w:rsidRPr="009E7AC8" w:rsidRDefault="00215637" w:rsidP="00215637">
      <w:pPr>
        <w:ind w:left="720" w:hanging="720"/>
        <w:rPr>
          <w:rFonts w:ascii="Arial" w:hAnsi="Arial" w:cs="Arial"/>
          <w:szCs w:val="24"/>
        </w:rPr>
      </w:pPr>
    </w:p>
    <w:p w:rsidR="00215637" w:rsidRPr="009E7AC8" w:rsidRDefault="00215637" w:rsidP="00215637">
      <w:pPr>
        <w:rPr>
          <w:rFonts w:ascii="Arial" w:hAnsi="Arial" w:cs="Arial"/>
          <w:szCs w:val="24"/>
        </w:rPr>
      </w:pPr>
    </w:p>
    <w:p w:rsidR="004128BE" w:rsidRDefault="004128BE"/>
    <w:sectPr w:rsidR="004128BE" w:rsidSect="00102C88">
      <w:headerReference w:type="even" r:id="rId11"/>
      <w:headerReference w:type="default" r:id="rId12"/>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88" w:rsidRDefault="00102C88">
      <w:r>
        <w:separator/>
      </w:r>
    </w:p>
  </w:endnote>
  <w:endnote w:type="continuationSeparator" w:id="0">
    <w:p w:rsidR="00102C88" w:rsidRDefault="0010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88" w:rsidRDefault="00102C88">
      <w:r>
        <w:separator/>
      </w:r>
    </w:p>
  </w:footnote>
  <w:footnote w:type="continuationSeparator" w:id="0">
    <w:p w:rsidR="00102C88" w:rsidRDefault="00102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88" w:rsidRDefault="002529E4">
    <w:pPr>
      <w:pStyle w:val="Header"/>
      <w:framePr w:wrap="around" w:vAnchor="text" w:hAnchor="margin" w:xAlign="center" w:y="1"/>
      <w:rPr>
        <w:rStyle w:val="PageNumber"/>
      </w:rPr>
    </w:pPr>
    <w:r>
      <w:rPr>
        <w:rStyle w:val="PageNumber"/>
      </w:rPr>
      <w:fldChar w:fldCharType="begin"/>
    </w:r>
    <w:r w:rsidR="00102C88">
      <w:rPr>
        <w:rStyle w:val="PageNumber"/>
      </w:rPr>
      <w:instrText xml:space="preserve">PAGE  </w:instrText>
    </w:r>
    <w:r>
      <w:rPr>
        <w:rStyle w:val="PageNumber"/>
      </w:rPr>
      <w:fldChar w:fldCharType="separate"/>
    </w:r>
    <w:r w:rsidR="00102C88">
      <w:rPr>
        <w:rStyle w:val="PageNumber"/>
        <w:noProof/>
      </w:rPr>
      <w:t>1</w:t>
    </w:r>
    <w:r>
      <w:rPr>
        <w:rStyle w:val="PageNumber"/>
      </w:rPr>
      <w:fldChar w:fldCharType="end"/>
    </w:r>
  </w:p>
  <w:p w:rsidR="00102C88" w:rsidRDefault="00102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88" w:rsidRPr="00010B75" w:rsidRDefault="002529E4">
    <w:pPr>
      <w:pStyle w:val="Header"/>
      <w:framePr w:wrap="around" w:vAnchor="text" w:hAnchor="margin" w:xAlign="center" w:y="1"/>
      <w:rPr>
        <w:rStyle w:val="PageNumber"/>
        <w:b/>
      </w:rPr>
    </w:pPr>
    <w:r w:rsidRPr="00010B75">
      <w:rPr>
        <w:rStyle w:val="PageNumber"/>
        <w:b/>
      </w:rPr>
      <w:fldChar w:fldCharType="begin"/>
    </w:r>
    <w:r w:rsidR="00102C88" w:rsidRPr="00010B75">
      <w:rPr>
        <w:rStyle w:val="PageNumber"/>
        <w:b/>
      </w:rPr>
      <w:instrText xml:space="preserve">PAGE  </w:instrText>
    </w:r>
    <w:r w:rsidRPr="00010B75">
      <w:rPr>
        <w:rStyle w:val="PageNumber"/>
        <w:b/>
      </w:rPr>
      <w:fldChar w:fldCharType="separate"/>
    </w:r>
    <w:r w:rsidR="00991CB4">
      <w:rPr>
        <w:rStyle w:val="PageNumber"/>
        <w:b/>
        <w:noProof/>
      </w:rPr>
      <w:t>11</w:t>
    </w:r>
    <w:r w:rsidRPr="00010B75">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102C88" w:rsidRPr="00010B75">
      <w:tc>
        <w:tcPr>
          <w:tcW w:w="3794" w:type="dxa"/>
        </w:tcPr>
        <w:p w:rsidR="00102C88" w:rsidRPr="00010B75" w:rsidRDefault="00102C88">
          <w:pPr>
            <w:rPr>
              <w:rFonts w:ascii="Arial" w:hAnsi="Arial"/>
              <w:b/>
              <w:snapToGrid w:val="0"/>
            </w:rPr>
          </w:pPr>
          <w:r w:rsidRPr="00010B75">
            <w:rPr>
              <w:rFonts w:ascii="Arial" w:hAnsi="Arial"/>
              <w:b/>
              <w:snapToGrid w:val="0"/>
            </w:rPr>
            <w:t>Canadian Social Welfare</w:t>
          </w:r>
        </w:p>
        <w:p w:rsidR="00102C88" w:rsidRPr="00010B75" w:rsidRDefault="00102C88">
          <w:pPr>
            <w:rPr>
              <w:rFonts w:ascii="Arial" w:hAnsi="Arial"/>
              <w:b/>
              <w:snapToGrid w:val="0"/>
            </w:rPr>
          </w:pPr>
          <w:r w:rsidRPr="00010B75">
            <w:rPr>
              <w:rFonts w:ascii="Arial" w:hAnsi="Arial"/>
              <w:b/>
              <w:snapToGrid w:val="0"/>
            </w:rPr>
            <w:t>And Aboriginal Policy</w:t>
          </w:r>
        </w:p>
      </w:tc>
      <w:tc>
        <w:tcPr>
          <w:tcW w:w="1134" w:type="dxa"/>
        </w:tcPr>
        <w:p w:rsidR="00102C88" w:rsidRPr="00010B75" w:rsidRDefault="00102C88">
          <w:pPr>
            <w:pStyle w:val="Header"/>
            <w:jc w:val="center"/>
            <w:rPr>
              <w:rFonts w:ascii="Arial" w:hAnsi="Arial"/>
              <w:b/>
              <w:snapToGrid w:val="0"/>
            </w:rPr>
          </w:pPr>
        </w:p>
      </w:tc>
      <w:tc>
        <w:tcPr>
          <w:tcW w:w="3928" w:type="dxa"/>
        </w:tcPr>
        <w:p w:rsidR="00102C88" w:rsidRPr="00010B75" w:rsidRDefault="00102C88">
          <w:pPr>
            <w:pStyle w:val="Header"/>
            <w:jc w:val="right"/>
            <w:rPr>
              <w:rFonts w:ascii="Arial" w:hAnsi="Arial"/>
              <w:b/>
              <w:snapToGrid w:val="0"/>
            </w:rPr>
          </w:pPr>
          <w:r w:rsidRPr="00010B75">
            <w:rPr>
              <w:rFonts w:ascii="Arial" w:hAnsi="Arial"/>
              <w:b/>
              <w:snapToGrid w:val="0"/>
            </w:rPr>
            <w:t>NSW104</w:t>
          </w:r>
        </w:p>
      </w:tc>
    </w:tr>
  </w:tbl>
  <w:p w:rsidR="00102C88" w:rsidRDefault="00102C8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0"/>
  </w:num>
  <w:num w:numId="3">
    <w:abstractNumId w:val="10"/>
  </w:num>
  <w:num w:numId="4">
    <w:abstractNumId w:val="16"/>
  </w:num>
  <w:num w:numId="5">
    <w:abstractNumId w:val="23"/>
  </w:num>
  <w:num w:numId="6">
    <w:abstractNumId w:val="3"/>
  </w:num>
  <w:num w:numId="7">
    <w:abstractNumId w:val="1"/>
  </w:num>
  <w:num w:numId="8">
    <w:abstractNumId w:val="14"/>
  </w:num>
  <w:num w:numId="9">
    <w:abstractNumId w:val="17"/>
  </w:num>
  <w:num w:numId="10">
    <w:abstractNumId w:val="4"/>
  </w:num>
  <w:num w:numId="11">
    <w:abstractNumId w:val="13"/>
  </w:num>
  <w:num w:numId="12">
    <w:abstractNumId w:val="0"/>
  </w:num>
  <w:num w:numId="13">
    <w:abstractNumId w:val="18"/>
  </w:num>
  <w:num w:numId="14">
    <w:abstractNumId w:val="19"/>
  </w:num>
  <w:num w:numId="15">
    <w:abstractNumId w:val="9"/>
  </w:num>
  <w:num w:numId="16">
    <w:abstractNumId w:val="6"/>
  </w:num>
  <w:num w:numId="17">
    <w:abstractNumId w:val="21"/>
  </w:num>
  <w:num w:numId="18">
    <w:abstractNumId w:val="8"/>
  </w:num>
  <w:num w:numId="19">
    <w:abstractNumId w:val="5"/>
  </w:num>
  <w:num w:numId="20">
    <w:abstractNumId w:val="2"/>
  </w:num>
  <w:num w:numId="21">
    <w:abstractNumId w:val="22"/>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10B75"/>
    <w:rsid w:val="00044FAE"/>
    <w:rsid w:val="00054866"/>
    <w:rsid w:val="00055341"/>
    <w:rsid w:val="00093D5D"/>
    <w:rsid w:val="000E03E0"/>
    <w:rsid w:val="00102C88"/>
    <w:rsid w:val="001360BA"/>
    <w:rsid w:val="00137EF7"/>
    <w:rsid w:val="00186E9E"/>
    <w:rsid w:val="001C6253"/>
    <w:rsid w:val="001F2E17"/>
    <w:rsid w:val="00215637"/>
    <w:rsid w:val="002529E4"/>
    <w:rsid w:val="00282364"/>
    <w:rsid w:val="00283914"/>
    <w:rsid w:val="00291742"/>
    <w:rsid w:val="00296F80"/>
    <w:rsid w:val="002A0B86"/>
    <w:rsid w:val="002B3B73"/>
    <w:rsid w:val="002C5DFB"/>
    <w:rsid w:val="002D15CC"/>
    <w:rsid w:val="00323DF5"/>
    <w:rsid w:val="003612A3"/>
    <w:rsid w:val="003C457A"/>
    <w:rsid w:val="003E151E"/>
    <w:rsid w:val="004128BE"/>
    <w:rsid w:val="00416E83"/>
    <w:rsid w:val="00467330"/>
    <w:rsid w:val="00490528"/>
    <w:rsid w:val="004F42AB"/>
    <w:rsid w:val="005134AA"/>
    <w:rsid w:val="005473D4"/>
    <w:rsid w:val="005524BD"/>
    <w:rsid w:val="00567C5D"/>
    <w:rsid w:val="005A07BB"/>
    <w:rsid w:val="005B1685"/>
    <w:rsid w:val="005B5AE1"/>
    <w:rsid w:val="00626C24"/>
    <w:rsid w:val="00633D15"/>
    <w:rsid w:val="0064568E"/>
    <w:rsid w:val="0065535C"/>
    <w:rsid w:val="00683545"/>
    <w:rsid w:val="0068422C"/>
    <w:rsid w:val="006B23A4"/>
    <w:rsid w:val="006C546D"/>
    <w:rsid w:val="00721FF2"/>
    <w:rsid w:val="00736873"/>
    <w:rsid w:val="00773F6B"/>
    <w:rsid w:val="007A5D80"/>
    <w:rsid w:val="007E33AE"/>
    <w:rsid w:val="007F132C"/>
    <w:rsid w:val="00847182"/>
    <w:rsid w:val="00862F06"/>
    <w:rsid w:val="00867048"/>
    <w:rsid w:val="008B64A8"/>
    <w:rsid w:val="008B6DDC"/>
    <w:rsid w:val="008F73BE"/>
    <w:rsid w:val="009000C0"/>
    <w:rsid w:val="00927482"/>
    <w:rsid w:val="00936898"/>
    <w:rsid w:val="00960F5B"/>
    <w:rsid w:val="00961732"/>
    <w:rsid w:val="00991CB4"/>
    <w:rsid w:val="009A30A8"/>
    <w:rsid w:val="009D0458"/>
    <w:rsid w:val="00A260AF"/>
    <w:rsid w:val="00A27439"/>
    <w:rsid w:val="00A53C29"/>
    <w:rsid w:val="00AA5383"/>
    <w:rsid w:val="00AB3291"/>
    <w:rsid w:val="00AB72DC"/>
    <w:rsid w:val="00AB7DF1"/>
    <w:rsid w:val="00AE5E72"/>
    <w:rsid w:val="00B31F53"/>
    <w:rsid w:val="00B3325C"/>
    <w:rsid w:val="00B53EC6"/>
    <w:rsid w:val="00B835FC"/>
    <w:rsid w:val="00BA61DF"/>
    <w:rsid w:val="00BC7B66"/>
    <w:rsid w:val="00C30D6E"/>
    <w:rsid w:val="00CB5A8A"/>
    <w:rsid w:val="00CF42B9"/>
    <w:rsid w:val="00D1300B"/>
    <w:rsid w:val="00D13AC7"/>
    <w:rsid w:val="00D27F3F"/>
    <w:rsid w:val="00D306AD"/>
    <w:rsid w:val="00D54F1A"/>
    <w:rsid w:val="00D74FF0"/>
    <w:rsid w:val="00E25868"/>
    <w:rsid w:val="00E57715"/>
    <w:rsid w:val="00E75DD7"/>
    <w:rsid w:val="00EF759C"/>
    <w:rsid w:val="00F260D6"/>
    <w:rsid w:val="00F430A9"/>
    <w:rsid w:val="00F73FF1"/>
    <w:rsid w:val="00F87D73"/>
    <w:rsid w:val="00FF360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478">
      <w:bodyDiv w:val="1"/>
      <w:marLeft w:val="0"/>
      <w:marRight w:val="0"/>
      <w:marTop w:val="0"/>
      <w:marBottom w:val="0"/>
      <w:divBdr>
        <w:top w:val="none" w:sz="0" w:space="0" w:color="auto"/>
        <w:left w:val="none" w:sz="0" w:space="0" w:color="auto"/>
        <w:bottom w:val="none" w:sz="0" w:space="0" w:color="auto"/>
        <w:right w:val="none" w:sz="0" w:space="0" w:color="auto"/>
      </w:divBdr>
    </w:div>
    <w:div w:id="298076590">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3A5B1-23E6-4104-97C9-17CA42FB5511}">
  <ds:schemaRefs>
    <ds:schemaRef ds:uri="http://schemas.openxmlformats.org/officeDocument/2006/bibliography"/>
  </ds:schemaRefs>
</ds:datastoreItem>
</file>

<file path=customXml/itemProps2.xml><?xml version="1.0" encoding="utf-8"?>
<ds:datastoreItem xmlns:ds="http://schemas.openxmlformats.org/officeDocument/2006/customXml" ds:itemID="{D7069D09-31D8-4471-B54E-CA8007D68E04}"/>
</file>

<file path=customXml/itemProps3.xml><?xml version="1.0" encoding="utf-8"?>
<ds:datastoreItem xmlns:ds="http://schemas.openxmlformats.org/officeDocument/2006/customXml" ds:itemID="{92F96761-389F-4173-A2D2-EB3D225ABB28}"/>
</file>

<file path=customXml/itemProps4.xml><?xml version="1.0" encoding="utf-8"?>
<ds:datastoreItem xmlns:ds="http://schemas.openxmlformats.org/officeDocument/2006/customXml" ds:itemID="{10A215F3-DBAC-4428-A271-4F63A9F19026}"/>
</file>

<file path=docProps/app.xml><?xml version="1.0" encoding="utf-8"?>
<Properties xmlns="http://schemas.openxmlformats.org/officeDocument/2006/extended-properties" xmlns:vt="http://schemas.openxmlformats.org/officeDocument/2006/docPropsVTypes">
  <Template>Normal.dotm</Template>
  <TotalTime>37</TotalTime>
  <Pages>11</Pages>
  <Words>3235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21</cp:revision>
  <cp:lastPrinted>2014-07-09T15:13:00Z</cp:lastPrinted>
  <dcterms:created xsi:type="dcterms:W3CDTF">2011-05-26T17:36:00Z</dcterms:created>
  <dcterms:modified xsi:type="dcterms:W3CDTF">2014-07-09T15:13:00Z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11395800</vt:r8>
  </property>
</Properties>
</file>